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558" w:rsidRDefault="00E56558" w:rsidP="00E56558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E56558" w:rsidRDefault="00E56558" w:rsidP="00E565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Характеристика текущего состояния сферы реализации муниципальной программы</w:t>
      </w:r>
    </w:p>
    <w:p w:rsidR="00E56558" w:rsidRDefault="00E56558" w:rsidP="00E56558">
      <w:pPr>
        <w:autoSpaceDE w:val="0"/>
        <w:autoSpaceDN w:val="0"/>
        <w:adjustRightInd w:val="0"/>
        <w:ind w:left="1262"/>
        <w:rPr>
          <w:rFonts w:ascii="Arial" w:eastAsia="Times New Roman" w:hAnsi="Arial" w:cs="Arial"/>
          <w:b/>
          <w:bCs/>
          <w:sz w:val="24"/>
          <w:szCs w:val="24"/>
        </w:rPr>
      </w:pP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Рост цен на топливо, возрастающие затраты на обслуживание изношенного оборудования приводят к повышению расходов на энергообеспечение жилых домов, учреждений социальной сферы, увеличению тарифов на энергоресурсы. Это обуславливает необходимость экономии топливно-энергетических ресурсов и проведения единой политики энергосбережения.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</w:p>
    <w:p w:rsidR="00E56558" w:rsidRDefault="00E56558" w:rsidP="00E5655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Общая характеристика в сфере энергосбережения жилищно-коммунального хозяйства</w:t>
      </w:r>
    </w:p>
    <w:p w:rsidR="00E56558" w:rsidRDefault="00E56558" w:rsidP="00E56558">
      <w:pPr>
        <w:autoSpaceDE w:val="0"/>
        <w:autoSpaceDN w:val="0"/>
        <w:adjustRightInd w:val="0"/>
        <w:spacing w:line="240" w:lineRule="auto"/>
        <w:ind w:firstLine="902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E56558" w:rsidRDefault="00E56558" w:rsidP="00E56558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Основными предприятиями городского округа Люберцы, осуществляющими деятельность в сфере жилищно-коммунального хозяйства, являются</w:t>
      </w:r>
      <w:r>
        <w:rPr>
          <w:rFonts w:ascii="Arial" w:eastAsia="Times New Roman" w:hAnsi="Arial" w:cs="Arial"/>
          <w:sz w:val="24"/>
          <w:szCs w:val="24"/>
        </w:rPr>
        <w:t>: АО «Люберецкая теплосеть», АО «</w:t>
      </w:r>
      <w:r>
        <w:rPr>
          <w:rFonts w:ascii="Arial" w:eastAsia="Times New Roman" w:hAnsi="Arial" w:cs="Arial"/>
          <w:color w:val="000000"/>
          <w:sz w:val="24"/>
          <w:szCs w:val="24"/>
        </w:rPr>
        <w:t>Люберецкий Водоканал»,                   АО «Люберецкий городской жилищный трест».</w:t>
      </w:r>
    </w:p>
    <w:p w:rsidR="00E56558" w:rsidRDefault="00E56558" w:rsidP="00E5655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 xml:space="preserve">По состоянию на 01.01.2019 г. на территории городского округа Люберцы Московской области находятся 2081 ед. многоквартирных домов, 81 ед. котельные, 275,1 км тепловых сетей в двухтрубном исчислении, 30 водозаборных узлов, 41 насосных станций, 385,2 км сетей водоснабжения, 386,6 км сетей канализации, 803 ед. трансформаторных подстанций. </w:t>
      </w:r>
    </w:p>
    <w:p w:rsidR="00E56558" w:rsidRDefault="00E56558" w:rsidP="00E56558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По состоянию на 01.12.2018 почти 100% жилых домов на территории округа оснащены общедомовыми приборами учета энергоресурсов; практически в половине домов, обслуживаемых АО «ЛГЖТ», произведена замена окон в подъездах </w:t>
      </w:r>
      <w:proofErr w:type="gramStart"/>
      <w:r>
        <w:rPr>
          <w:rFonts w:ascii="Arial" w:eastAsia="Times New Roman" w:hAnsi="Arial" w:cs="Arial"/>
          <w:bCs/>
          <w:sz w:val="24"/>
          <w:szCs w:val="24"/>
        </w:rPr>
        <w:t>на</w:t>
      </w:r>
      <w:proofErr w:type="gramEnd"/>
      <w:r>
        <w:rPr>
          <w:rFonts w:ascii="Arial" w:eastAsia="Times New Roman" w:hAnsi="Arial" w:cs="Arial"/>
          <w:bCs/>
          <w:sz w:val="24"/>
          <w:szCs w:val="24"/>
        </w:rPr>
        <w:t xml:space="preserve"> пластиковые (энергосберегающие).</w:t>
      </w:r>
    </w:p>
    <w:p w:rsidR="00E56558" w:rsidRDefault="00E56558" w:rsidP="00E56558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E56558" w:rsidRDefault="00E56558" w:rsidP="00E5655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Общая характеристика энергосбережения в учреждениях бюджетной сферы и основные проблемы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ind w:left="127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56558" w:rsidRDefault="00E56558" w:rsidP="00E565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По состоянию 01.12.2018 года в ведении муниципального образования городской округ Люберцы Московской области находятся 145 муниципальных учреждения, в том числе:</w:t>
      </w:r>
      <w:proofErr w:type="gramEnd"/>
    </w:p>
    <w:p w:rsidR="00E56558" w:rsidRDefault="00E56558" w:rsidP="00E565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113 учреждений образования;</w:t>
      </w:r>
    </w:p>
    <w:p w:rsidR="00E56558" w:rsidRDefault="00E56558" w:rsidP="00E565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17 учреждений культуры;</w:t>
      </w:r>
    </w:p>
    <w:p w:rsidR="00E56558" w:rsidRDefault="00E56558" w:rsidP="00E565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9 учреждений физической культуры и спорта; </w:t>
      </w:r>
    </w:p>
    <w:p w:rsidR="00E56558" w:rsidRDefault="00E56558" w:rsidP="00E565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 учреждение по работе с молодежью;</w:t>
      </w:r>
    </w:p>
    <w:p w:rsidR="00E56558" w:rsidRDefault="00E56558" w:rsidP="00E565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 учреждений администрации.</w:t>
      </w:r>
    </w:p>
    <w:p w:rsidR="00E56558" w:rsidRDefault="00E56558" w:rsidP="00E56558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2018 года все муниципальные учреждения городского округа Люберцы оснащены приборами учета энергетических ресурсов.</w:t>
      </w:r>
    </w:p>
    <w:p w:rsidR="00E56558" w:rsidRDefault="00E56558" w:rsidP="00E56558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</w:rPr>
        <w:t xml:space="preserve">В настоящее время в бюджетной сфере округа существует ряд проблем: </w:t>
      </w:r>
    </w:p>
    <w:p w:rsidR="00E56558" w:rsidRDefault="00E56558" w:rsidP="00E56558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E56558" w:rsidRDefault="00E56558" w:rsidP="00E56558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низкая доля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E56558" w:rsidRDefault="00E56558" w:rsidP="00E56558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отсутствие пропаганды энергосбережения и условий, его стимулирующих. </w:t>
      </w:r>
    </w:p>
    <w:p w:rsidR="00E56558" w:rsidRDefault="00E56558" w:rsidP="00E5655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E56558" w:rsidRDefault="00E56558" w:rsidP="00E5655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  выявления потенциала энергосбережения;</w:t>
      </w:r>
    </w:p>
    <w:p w:rsidR="00E56558" w:rsidRDefault="00E56558" w:rsidP="00E56558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  определения основных энергосберегающих мероприятий;</w:t>
      </w:r>
    </w:p>
    <w:p w:rsidR="00E56558" w:rsidRDefault="00E56558" w:rsidP="00E56558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определения объектов бюджетной сферы, где необходимо первоочередное проведение энергосберегающих мероприятий;</w:t>
      </w:r>
    </w:p>
    <w:p w:rsidR="00E56558" w:rsidRDefault="00E56558" w:rsidP="00E56558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установления нормативных показателей энергопотребления (</w:t>
      </w:r>
      <w:proofErr w:type="spellStart"/>
      <w:r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E56558" w:rsidRDefault="00E56558" w:rsidP="00E56558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На основе результатов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энергоаудита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E56558" w:rsidRDefault="00E56558" w:rsidP="00E56558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В соответствии с Распоряжением Правительства РФ от 13.05.2013 №767-р «О регулировании отношений в сфере использования газового моторного топлива» город Люберцы входит в число 17 городов Подмосковья с численностью населения свыше 100 тыс. человек, где к 2020 г. планируется перевод до 10% общественного и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дорожно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- коммунального транспорта на использование газомоторного топлива.</w:t>
      </w:r>
    </w:p>
    <w:p w:rsidR="00E56558" w:rsidRDefault="00E56558" w:rsidP="00E56558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Преимущества данного вида топлива перед бензином и дизельным топливом:</w:t>
      </w:r>
    </w:p>
    <w:p w:rsidR="00E56558" w:rsidRDefault="00E56558" w:rsidP="00E56558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низкая стоимость,</w:t>
      </w:r>
    </w:p>
    <w:p w:rsidR="00E56558" w:rsidRDefault="00E56558" w:rsidP="00E56558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увеличение ресурса работы двигателя за счет более медленного изнашивания,</w:t>
      </w:r>
    </w:p>
    <w:p w:rsidR="00E56558" w:rsidRDefault="00E56558" w:rsidP="00E56558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высокая степень экологической безопасности.</w:t>
      </w:r>
    </w:p>
    <w:p w:rsidR="00E56558" w:rsidRDefault="00E56558" w:rsidP="00E56558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Однако конструктивные особенности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автотехники требуют реконструкции транспортных предприятий. Кроме того, необходимо строительство декомпрессионных пунктов для хранения газовых баллонов.</w:t>
      </w:r>
    </w:p>
    <w:p w:rsidR="00E56558" w:rsidRDefault="00E56558" w:rsidP="00E56558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В настоящее время заправка газовым топливом осуществляется не на всех автозаправочных станциях. В перспективе газозаправочной аппаратурой оборудуют все АЗС. Кроме того, вблизи автотранспортных предприятий планируется создание дополнительных газозаправочных станций.</w:t>
      </w:r>
    </w:p>
    <w:p w:rsidR="00E56558" w:rsidRDefault="00E56558" w:rsidP="00E56558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Учитывая вышесказанное, переход на использование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техники в городском округе Люберцы планируется в  2019 году.</w:t>
      </w:r>
    </w:p>
    <w:p w:rsidR="00E56558" w:rsidRDefault="00E56558" w:rsidP="00E565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Реализация Программы позволит:</w:t>
      </w:r>
    </w:p>
    <w:p w:rsidR="00E56558" w:rsidRDefault="00E56558" w:rsidP="00E565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полностью оснастить муниципальные учреждения социальной сферы приборами учета энергоресурсов;</w:t>
      </w:r>
    </w:p>
    <w:p w:rsidR="00E56558" w:rsidRDefault="00E56558" w:rsidP="00E56558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обеспечить проведение энергетической паспортизации всех учреждений социальной сферы;</w:t>
      </w:r>
    </w:p>
    <w:p w:rsidR="00E56558" w:rsidRDefault="00E56558" w:rsidP="00E56558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перевести частично транспортные средства на газовое топливо.</w:t>
      </w:r>
    </w:p>
    <w:p w:rsidR="00E56558" w:rsidRDefault="00E56558" w:rsidP="00E56558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56558" w:rsidRDefault="00E56558" w:rsidP="00E56558">
      <w:pPr>
        <w:pStyle w:val="af2"/>
        <w:numPr>
          <w:ilvl w:val="0"/>
          <w:numId w:val="4"/>
        </w:num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Цели и задачи муниципальной программы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E56558" w:rsidRDefault="00E56558" w:rsidP="00E56558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 Муниципальной программы -  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Достижение поставленной цели позволит достичь: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1. Повышение энергетической эффективности в бюджетной сфере.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2. Повышение энергетической эффективности в жилищном фонде.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3. Повышение энергетической эффективности в системах коммунальной инфраструктуры.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4. Повышение энергетической эффективности систем наружного освещения.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5. Повышение энергетической эффективности на территории городского округа Люберцы.</w:t>
      </w:r>
    </w:p>
    <w:p w:rsidR="00E56558" w:rsidRDefault="00E56558" w:rsidP="00E5655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Прогноз развития системы энергосбережения и повышения </w:t>
      </w:r>
      <w:r>
        <w:rPr>
          <w:rFonts w:ascii="Arial" w:eastAsia="Times New Roman" w:hAnsi="Arial" w:cs="Arial"/>
          <w:b/>
          <w:sz w:val="24"/>
          <w:szCs w:val="24"/>
          <w:lang w:eastAsia="en-US"/>
        </w:rPr>
        <w:lastRenderedPageBreak/>
        <w:t>энергетической эффективности в бюджетной сфере городского округа Люберцы с учетом реализации муниципальной программы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ab/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Реализация муниципальной программы направлена на выполнение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 установку приборов учета потребления энергоресурсов;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 проведение энергетического обследования;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-  замену ламп накаливания </w:t>
      </w: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>на</w:t>
      </w:r>
      <w:proofErr w:type="gram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энергосберегающие;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перевод транспортных средств, используемых администрацией городского округа Люберцы, на потребление в качестве моторного топлива природного газа.</w:t>
      </w:r>
      <w:r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</w:rPr>
        <w:t>Перечень программных мероприятий приведен в приложении № 1 к настоящей Программе.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56558" w:rsidRDefault="00E56558" w:rsidP="00E56558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Перечень подпрограмм муниципальной программы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Подпрограммы отсутствуют.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56558" w:rsidRDefault="00E56558" w:rsidP="00E56558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Обобщенная характеристика основных мероприятий программы с обоснованием их осуществления.</w:t>
      </w: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E56558" w:rsidRDefault="00E56558" w:rsidP="00E56558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Выполнение основных  мероприятий позволит увеличить:</w:t>
      </w: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Нормативное освещение улиц, проездов, набережных в городских и сельских поселениях к концу 2020 года – до 100 %.</w:t>
      </w: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Долю </w:t>
      </w:r>
      <w:proofErr w:type="gramStart"/>
      <w:r>
        <w:rPr>
          <w:rFonts w:ascii="Arial" w:eastAsia="Times New Roman" w:hAnsi="Arial" w:cs="Arial"/>
          <w:sz w:val="24"/>
          <w:szCs w:val="24"/>
        </w:rPr>
        <w:t>ответственных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</w: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Сократить  уровень  износа электросетевого хозяйства систем наружного освещения с применением СИП и высокоэффективных светильников к 2022 году до 39,01 %</w:t>
      </w: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(показатель Бережливый учет) к концу 2022 года –      100 %</w:t>
      </w: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Долю многоквартирных домов, оснащенных приборами учета потребляемых энергетических ресурсов к концу 2022 года – 100 %</w:t>
      </w: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Долю зданий, строений, сооружений муниципальной собственности, </w:t>
      </w:r>
      <w:r>
        <w:rPr>
          <w:rFonts w:ascii="Arial" w:eastAsia="Times New Roman" w:hAnsi="Arial" w:cs="Arial"/>
          <w:sz w:val="24"/>
          <w:szCs w:val="24"/>
        </w:rPr>
        <w:lastRenderedPageBreak/>
        <w:t>соответствующих нормальному уровню энергетической эффективности и выше (А, B, C, D) к концу 2022 года – до 50 %</w:t>
      </w: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</w: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Количество многоквартирных домов, соответствующих нормальному классу энергетической эффективности и выше (А, B, C и D) к концу 2022 года – 175 ед.</w:t>
      </w:r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- 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</w:r>
      <w:proofErr w:type="gramEnd"/>
    </w:p>
    <w:p w:rsidR="00E56558" w:rsidRDefault="00E56558" w:rsidP="00E56558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А также, добиться  снижения  потери энергии при производстве тепловой энергии и организации водоснабжения.</w:t>
      </w:r>
    </w:p>
    <w:p w:rsidR="00E56558" w:rsidRDefault="00E56558" w:rsidP="00E56558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6. Порядок взаимодействия ответственных за выполнение мероприятий программы с заказчиком муниципальной программы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реализацией программы осуществляет администрация городского округа Люберцы. Реализация основных мероприятий осуществляется в соответствии с утвержденными дорожными картами.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>С целью контроля реализации Программы исполнители мероприятий Программы и заказчик предоставляют оперативные  и итоговые отчеты                                о реализации соответствующих мероприятий Программы в соответствии                             с Порядком принятия решений о разработке муниципальных программ городского округа Люберцы, их формированию  и реализации, утвержденным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</w:t>
      </w:r>
      <w:proofErr w:type="gram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округа Люберцы, их формирования и реализации».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Для формирования отчётов и аналитических материалов о реализации программы исполнители мероприятий и заказчик программы руководствуются методикой расчета показателей эффективности реализации  программы, приведенной в Приложении № 3 к настоящей программе.</w:t>
      </w: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E56558" w:rsidRDefault="00E56558" w:rsidP="00E56558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Состав, форма и сроки предоставления отчетности</w:t>
      </w:r>
    </w:p>
    <w:p w:rsidR="00E56558" w:rsidRDefault="00E56558" w:rsidP="00E56558">
      <w:pPr>
        <w:pStyle w:val="af2"/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p w:rsidR="00E56558" w:rsidRDefault="00E56558" w:rsidP="00E565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Заполнение отчетных форм </w:t>
      </w:r>
      <w:proofErr w:type="gramStart"/>
      <w:r>
        <w:rPr>
          <w:rFonts w:ascii="Arial" w:hAnsi="Arial" w:cs="Arial"/>
          <w:sz w:val="24"/>
          <w:szCs w:val="24"/>
        </w:rPr>
        <w:t>в ГАС</w:t>
      </w:r>
      <w:proofErr w:type="gramEnd"/>
      <w:r>
        <w:rPr>
          <w:rFonts w:ascii="Arial" w:hAnsi="Arial" w:cs="Arial"/>
          <w:sz w:val="24"/>
          <w:szCs w:val="24"/>
        </w:rPr>
        <w:t xml:space="preserve"> «Управление», по запросу Министерств.</w:t>
      </w:r>
    </w:p>
    <w:p w:rsidR="00E56558" w:rsidRDefault="00E56558" w:rsidP="00E565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6558" w:rsidRDefault="00E56558" w:rsidP="00E56558">
      <w:pPr>
        <w:ind w:left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 Финансирование муниципальной программы</w:t>
      </w:r>
    </w:p>
    <w:p w:rsidR="00E56558" w:rsidRDefault="00E56558" w:rsidP="00E565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6558" w:rsidRDefault="00E56558" w:rsidP="00E5655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E56558" w:rsidRDefault="00E56558" w:rsidP="00E5655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>
        <w:rPr>
          <w:rFonts w:ascii="Arial" w:hAnsi="Arial" w:cs="Arial"/>
          <w:sz w:val="24"/>
          <w:szCs w:val="24"/>
        </w:rPr>
        <w:t>дств в б</w:t>
      </w:r>
      <w:proofErr w:type="gramEnd"/>
      <w:r>
        <w:rPr>
          <w:rFonts w:ascii="Arial" w:hAnsi="Arial" w:cs="Arial"/>
          <w:sz w:val="24"/>
          <w:szCs w:val="24"/>
        </w:rPr>
        <w:t>юджете городского округа Люберцы.</w:t>
      </w:r>
    </w:p>
    <w:p w:rsidR="00E56558" w:rsidRDefault="00E56558" w:rsidP="00E565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6558" w:rsidRDefault="00E56558" w:rsidP="00E565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6558" w:rsidRDefault="00E56558" w:rsidP="00E565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6558" w:rsidRDefault="00E56558" w:rsidP="00E565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:rsidR="00E56558" w:rsidRDefault="00E56558" w:rsidP="00E56558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E56558">
          <w:pgSz w:w="11906" w:h="16838"/>
          <w:pgMar w:top="1134" w:right="851" w:bottom="851" w:left="1418" w:header="709" w:footer="709" w:gutter="0"/>
          <w:cols w:space="720"/>
        </w:sectPr>
      </w:pPr>
    </w:p>
    <w:p w:rsidR="00E56558" w:rsidRDefault="00E56558" w:rsidP="00E56558">
      <w:pPr>
        <w:autoSpaceDE w:val="0"/>
        <w:autoSpaceDN w:val="0"/>
        <w:adjustRightInd w:val="0"/>
        <w:spacing w:after="0" w:line="240" w:lineRule="auto"/>
        <w:ind w:right="27" w:firstLine="11624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Утверждена</w:t>
      </w:r>
    </w:p>
    <w:p w:rsidR="00E56558" w:rsidRDefault="00E56558" w:rsidP="00E56558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Постановлением администрации</w:t>
      </w:r>
    </w:p>
    <w:p w:rsidR="00E56558" w:rsidRDefault="00E56558" w:rsidP="00E56558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городского округа Люберцы</w:t>
      </w:r>
    </w:p>
    <w:p w:rsidR="00E56558" w:rsidRDefault="00E56558" w:rsidP="00E56558">
      <w:pPr>
        <w:autoSpaceDE w:val="0"/>
        <w:autoSpaceDN w:val="0"/>
        <w:adjustRightInd w:val="0"/>
        <w:spacing w:after="0" w:line="240" w:lineRule="auto"/>
        <w:ind w:left="27" w:right="27" w:firstLine="1159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E56558" w:rsidRDefault="00E56558" w:rsidP="00E56558">
      <w:pPr>
        <w:autoSpaceDE w:val="0"/>
        <w:autoSpaceDN w:val="0"/>
        <w:adjustRightInd w:val="0"/>
        <w:spacing w:after="0" w:line="240" w:lineRule="auto"/>
        <w:ind w:left="27" w:right="27" w:firstLine="1159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 04.09.2019 № 3279-ПА</w:t>
      </w:r>
    </w:p>
    <w:p w:rsidR="00E56558" w:rsidRDefault="00E56558" w:rsidP="00E56558">
      <w:pPr>
        <w:autoSpaceDE w:val="0"/>
        <w:autoSpaceDN w:val="0"/>
        <w:adjustRightInd w:val="0"/>
        <w:spacing w:after="0" w:line="240" w:lineRule="auto"/>
        <w:ind w:left="27" w:right="27" w:firstLine="12466"/>
        <w:rPr>
          <w:rFonts w:ascii="Arial" w:hAnsi="Arial" w:cs="Arial"/>
          <w:color w:val="000000"/>
          <w:sz w:val="24"/>
          <w:szCs w:val="24"/>
        </w:rPr>
      </w:pPr>
    </w:p>
    <w:p w:rsidR="00E56558" w:rsidRDefault="00E56558" w:rsidP="00E5655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программа «Энергосбережение и повышение энергетической эффективности в городском округе Люберцы Московской области»</w:t>
      </w:r>
    </w:p>
    <w:p w:rsidR="00E56558" w:rsidRDefault="00E56558" w:rsidP="00E5655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E56558" w:rsidRDefault="00E56558" w:rsidP="00E56558">
      <w:pPr>
        <w:ind w:left="567" w:right="56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p w:rsidR="00E56558" w:rsidRDefault="00E56558" w:rsidP="00E5655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142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115"/>
        <w:gridCol w:w="1657"/>
        <w:gridCol w:w="1519"/>
        <w:gridCol w:w="1522"/>
        <w:gridCol w:w="1657"/>
        <w:gridCol w:w="1657"/>
        <w:gridCol w:w="1593"/>
      </w:tblGrid>
      <w:tr w:rsidR="00E56558" w:rsidTr="00E56558">
        <w:trPr>
          <w:trHeight w:val="509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</w:t>
            </w:r>
          </w:p>
        </w:tc>
      </w:tr>
      <w:tr w:rsidR="00E56558" w:rsidTr="00E56558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Повышение энергетической эффективности в бюджетной сфере.</w:t>
            </w:r>
          </w:p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Повышение энергетической эффективности в жилищном фонде.</w:t>
            </w:r>
          </w:p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Повышение энергетической эффективности в системах коммунальной инфраструктуры.</w:t>
            </w:r>
          </w:p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Повышение энергетической эффективности систем наружного освещения.</w:t>
            </w:r>
          </w:p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 Повышение энергетической эффективности на территории городского округа.</w:t>
            </w:r>
          </w:p>
        </w:tc>
      </w:tr>
      <w:tr w:rsidR="00E56558" w:rsidTr="00E56558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В.И. Власов -  Заместитель Главы администрации городского округа Люберцы Московской области</w:t>
            </w:r>
          </w:p>
        </w:tc>
      </w:tr>
      <w:tr w:rsidR="00E56558" w:rsidTr="00E56558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E56558" w:rsidTr="00E56558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2018 - 2022</w:t>
            </w:r>
          </w:p>
        </w:tc>
      </w:tr>
      <w:tr w:rsidR="00E56558" w:rsidTr="00E56558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20"/>
        </w:trPr>
        <w:tc>
          <w:tcPr>
            <w:tcW w:w="17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E56558" w:rsidTr="00E5655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558" w:rsidRDefault="00E565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6558" w:rsidRDefault="00E565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  <w:p w:rsidR="00E56558" w:rsidRDefault="00E565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</w:tr>
      <w:tr w:rsidR="00E56558" w:rsidTr="00E56558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E56558" w:rsidTr="00E56558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Московской области 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035,17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19 035,17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E56558" w:rsidTr="00E56558">
        <w:trPr>
          <w:trHeight w:val="293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559 268,07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140 420,46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113 241,74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103 867,65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100 869,11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100 869,11</w:t>
            </w:r>
          </w:p>
        </w:tc>
      </w:tr>
      <w:tr w:rsidR="00E56558" w:rsidTr="00E56558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473 544,72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115 667,50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92 919,72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88 283,50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</w:tr>
      <w:tr w:rsidR="00E56558" w:rsidTr="00E56558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1 051 847,96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275 123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206 161,46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192 151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189 206,11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189 206,11</w:t>
            </w:r>
          </w:p>
        </w:tc>
      </w:tr>
      <w:tr w:rsidR="00E56558" w:rsidTr="00E56558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– до 100 %.</w:t>
            </w:r>
            <w:proofErr w:type="gramEnd"/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      </w:r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 к 2022 году до 39,01 %</w:t>
            </w:r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концу 2022 года – 100 %</w:t>
            </w:r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      </w:r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      </w:r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Количество многоквартирных домов, соответствующих нормальному классу энергетической эффективности и выше (А, B, C и D) к концу 2022 года – 175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ед.</w:t>
            </w:r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к концу 2022 года – до 9,79 %</w:t>
            </w:r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 к концу 2022 года –   2,39 %</w:t>
            </w:r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Удельный расход электрической энергии, используемой при передаче тепловой энергии в системах теплоснабжения к концу 2022 года – 0,02 Киловатт в час на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 к концу 2022 года – 0,73 киловатт-час/кв. м</w:t>
            </w:r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      </w:r>
            <w:proofErr w:type="gramEnd"/>
          </w:p>
          <w:p w:rsidR="00E56558" w:rsidRDefault="00E56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 – до 100 % к 2022 году</w:t>
            </w:r>
          </w:p>
          <w:p w:rsidR="00E56558" w:rsidRDefault="00E56558">
            <w:pPr>
              <w:pStyle w:val="af2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 100 % ежегодно.</w:t>
            </w:r>
          </w:p>
          <w:p w:rsidR="00E56558" w:rsidRDefault="00E56558">
            <w:pPr>
              <w:pStyle w:val="af2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образовательных учреждений, подключенных по 2-й категории надежности электроснабжения до 100% к моменту реализации МП.</w:t>
            </w:r>
          </w:p>
          <w:p w:rsidR="00E56558" w:rsidRDefault="00E56558">
            <w:pPr>
              <w:pStyle w:val="af2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образовательных учреждений, оснащенных приборами учета энергетических ресурсов до 100% к моменту реализации МП.</w:t>
            </w:r>
          </w:p>
          <w:p w:rsidR="00E56558" w:rsidRDefault="00E56558">
            <w:pPr>
              <w:pStyle w:val="af2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до 29,10 % </w:t>
            </w:r>
            <w:proofErr w:type="gramStart"/>
            <w:r>
              <w:rPr>
                <w:rFonts w:ascii="Arial" w:hAnsi="Arial" w:cs="Arial"/>
                <w:color w:val="000000"/>
              </w:rPr>
              <w:t>у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моменту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реализации МП.</w:t>
            </w:r>
          </w:p>
        </w:tc>
      </w:tr>
    </w:tbl>
    <w:p w:rsidR="00E56558" w:rsidRDefault="00E56558" w:rsidP="00E5655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E56558" w:rsidRDefault="00E56558" w:rsidP="00E5655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E56558" w:rsidRDefault="00E56558" w:rsidP="00E5655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E56558" w:rsidRDefault="00E56558" w:rsidP="00E5655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E56558" w:rsidRDefault="00E56558" w:rsidP="00E5655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E56558" w:rsidRDefault="00E56558" w:rsidP="00E5655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Приложение № 1</w:t>
      </w:r>
    </w:p>
    <w:p w:rsidR="00E56558" w:rsidRDefault="00E56558" w:rsidP="00E56558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 Постановлению администрации</w:t>
      </w:r>
    </w:p>
    <w:p w:rsidR="00E56558" w:rsidRDefault="00E56558" w:rsidP="00E56558">
      <w:pPr>
        <w:autoSpaceDE w:val="0"/>
        <w:autoSpaceDN w:val="0"/>
        <w:adjustRightInd w:val="0"/>
        <w:spacing w:after="0" w:line="240" w:lineRule="auto"/>
        <w:ind w:left="28" w:right="28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городского округа Люберцы</w:t>
      </w:r>
    </w:p>
    <w:p w:rsidR="00E56558" w:rsidRDefault="00E56558" w:rsidP="00E56558">
      <w:pPr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Московской области</w:t>
      </w:r>
      <w:r>
        <w:rPr>
          <w:rFonts w:ascii="Arial" w:hAnsi="Arial" w:cs="Arial"/>
          <w:color w:val="000000"/>
          <w:sz w:val="24"/>
          <w:szCs w:val="24"/>
        </w:rPr>
        <w:br/>
        <w:t>от 04.09.2019 № 3279-ПА</w:t>
      </w:r>
    </w:p>
    <w:p w:rsidR="00E56558" w:rsidRDefault="00E56558" w:rsidP="00E5655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Перечень мероприятий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5250" w:type="pct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3194"/>
        <w:gridCol w:w="2125"/>
        <w:gridCol w:w="1683"/>
        <w:gridCol w:w="2353"/>
        <w:gridCol w:w="1304"/>
        <w:gridCol w:w="1304"/>
        <w:gridCol w:w="1418"/>
        <w:gridCol w:w="1418"/>
        <w:gridCol w:w="1304"/>
        <w:gridCol w:w="1304"/>
        <w:gridCol w:w="1981"/>
        <w:gridCol w:w="2928"/>
      </w:tblGrid>
      <w:tr w:rsidR="00E56558" w:rsidTr="00E56558">
        <w:trPr>
          <w:trHeight w:val="37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 реализации программы/подпрограммы</w:t>
            </w: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Объём финансирования мероприятия в году предшествующему году начала реализации муниципальной программы (тыс. руб.) 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3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Результаты выполнения мероприятия программы/</w:t>
            </w:r>
          </w:p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подпрограммы</w:t>
            </w:r>
          </w:p>
        </w:tc>
      </w:tr>
      <w:tr w:rsidR="00E56558" w:rsidTr="00E56558">
        <w:trPr>
          <w:trHeight w:val="7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 Основное мероприятие "Установка автоматизированных узлов управления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Установка автоматизированного узла управления системой отопления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3 000.00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3 000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 Основное мероприятие "Предоставление информации в государственные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региональные информационные системы в области энергосбережения в бюджетной сфере"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 Предоставление информации муниципальными учреждениями в информационные системы в области энергосбережения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Заполнение информации в ГИС "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" - 100% муниципальных учреждений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 Основное мероприятие "Проведение мероприятий, направленных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повышение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зданий (в бюджетной сфере)"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 Координация мероприятий по повышению энергетической эффективности объектов бюджетной сферы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3.2 Установка (модернизация) ИТП с установкой теплообменника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отопления и аппаратуры управления отопления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Уменьшение удельного суммарного расхода тепловой энергии в муниципальных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3.3 Установка терморегулирующих клапанов (терморегуляторов) на отопительных приборах.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3.4 Промывка трубопроводов и стояков системы отопления.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площади)</w:t>
            </w: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3.5 Повышение теплозащиты наружных стен, утепление кровли и чердачных помещений.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3.6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3.6 Установка автоматизированной системы регулирования освещением, датчиков движения и освещенности.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3.7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3.7 Установка насосного оборудования и электроустановок с частотно-регулируемым приводом.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3.8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3.8 Модернизация трубопроводов и арматуры системы ГВС.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потребления воды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3.9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3.9 Установка аэраторов с регулятором расхода воды.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потребления воды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Основное мероприятие "Модернизация систем освещения в муниципальных учреждениях"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 Установка светодиодных светильников (в том числе демонтаж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неэнергосберегающих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светильников)</w:t>
            </w:r>
          </w:p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2 500.00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2 500.00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5 Основное мероприятие "Установка автоматизированных систем диспетчеризации, контроля и учета потребляемых энергетических ресурсов на объектах муниципальной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собственности"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150.00 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150.00 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5.1 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Увеличение доли приборов учета энергетических ресурсов в общем объеме приборов учета энергетических ресурсов, охваченных автоматизированных системами контроля учета энергетических ресурсов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Основное мероприятие "Обеспечение учета используемых энергетических ресурсов в жилищном фонде"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36 674.00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5 239,15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2 750.00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989.15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8 500.00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45 174.00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5 239,15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2 750.00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989.15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6.1 Оснащение коллективными (общедомовыми) приборами учета тепловой энергии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Увеличение доли многоквартирных домов, оснащенных общедомовыми приборами учета потребляемых тепловой энергии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20 274.15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3 089.15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489.15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20 274.15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3 089.15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489.15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6.2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6.2 Оснащение индивидуальными приборами учета воды в многоквартирных жилых домах  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энергетических ресурсов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16 400.00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16 400.00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7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при реконструкции и капитальном ремонте в жилищном фонде"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63 792.00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51 352.00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12 528.00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10 392.00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9 842.00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63 792.00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51 352.00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12 528.00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10 392.00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9 842.00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7.1 Установка доводчиков входных дверей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341.00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69.00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341.00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69.00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7.2 Замена оконных блоков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3 030.00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590.00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3 030.00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590.00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7.3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7.3 Тепловая изоляция трубопроводов в ЦО, ГВС в подвалах, на чердаках 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8 230.00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8 540.00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8 230.00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8 540.00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1 750.00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7.4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7.4 Усиление теплозащиты стен и перекрытий 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12 391.00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2 246.00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1 423.00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12 391.00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2 246.00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1 423.00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7.5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7.5 Замена стального трубопровода ХВС, ГВС, ЦО на полипропиленовый трубопровод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39 800.00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37 100.00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7 800.00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39 800.00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37 100.00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7 800.00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Основное мероприятие "Модернизация систем освещения в местах общего пользования многоквартирных домов"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20 647.22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19 353.92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4 411.80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4 173.12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3 825.00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3 472.00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3 472.00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20 647.22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19 353.92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4 411.80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4 173.12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3 825.00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3 472.00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3 472.00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8.1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8.1 Внедрение энергосберегающих светильников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энергоэкономических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на лестничных клетках жилых домов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16 066.00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14 865.00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3 475.00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3 258.00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2 932.00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16 066.00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14 865.00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3 475.00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3 258.00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2 932.00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8.2 Внедрение энергосберегающих светильников (светодиодных) на лестничных клетках жилых домов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1 441.22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1 298.92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316.80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285.12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253.00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1 441.22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1 298.92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316.80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285.12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253.00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8.3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8.3 Внедрение энергосберегающих светильников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энергоэкономических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и светодиодных) в подъездах и лестничных клетках жилых домов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3 140.00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3 190.00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3 140.00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3 190.00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9 Основное мероприятие "Проведение мероприятий, направленных на повышение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в МКД"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9.1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9.1 Проведение организационных мероприятий с лицами ответственными за содержание МКД, по предоставлению деклараций в ГЖИ МО с целью установления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МКД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количества многоквартирных домов,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и выше (А, B.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C и D)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Основное мероприятие "Обеспечение учета используемых энергетических ресурсов на объектах коммунальной инфраструктуры"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10.1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10.1 Установка приборов учета энергетических ресурсов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11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в системах водоснабжения и водоотведения"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Снижение доли потерь воды при ее передаче в общем объеме переданной воды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12 790.00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9 710.00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4 670.00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4 750.00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12 790.00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9 710.00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4 670.00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4 750.00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11.1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11.1 Замена трубопроводов с применением труб многослойных ПНД 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доли потерь воды при ее передаче в общем объеме переданной воды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11 600.00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8 600.00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4 400.00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4 200.00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11 600.00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8 600.00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4 400.00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4 200.00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11.2 Замена преобразователя частоты насосов первого подъема ВНС 2-5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11.3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11.3 Замена преобразователя частоты насосов второго подъема ВНС 2-5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11.4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11.4 Установка устрой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ств пл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авного пуска электродвигателя 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640.00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560.00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640.00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560.00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12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энергоэффектив-ных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в системах отопления"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доли потерь тепловой энергии при ее передаче в общем объеме переданной тепловой энергии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391 870.00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385 420.00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92 420.00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391 870.00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385 420.00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92 420.00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12.1 Установка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оборудования с высоким коэффициентом полезного действия при модернизации котельных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30 884.00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30 884.00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12.2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12.2 Замена и модернизация ветхих тепловых сетей с применением труб ППУ изоляции и пластмассовых труб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топлива на выработку тепловой энергии на котельных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 xml:space="preserve">Снижение доли потерь тепловой энергии при ее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передаче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в общем объем переданной тепловой энергии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360 986.00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363 760.00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70 760.00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360 986.00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363 760.00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70 760.00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73 000.00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13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в системах освещения на объектах коммунальной инфраструктуры"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430.00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430.00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13.1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13.1 Замена светильников с люминесцентными лампами в офисных помещениях на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светодиодные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280.00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280.00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13.2 Замена уличных прожекторов на объектах на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светодиодные</w:t>
            </w:r>
            <w:proofErr w:type="gramEnd"/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Основное мероприятие "Повышение энергетической эффективности при использовании моторного топлива"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14.1 Замещение природным газом бензина, используемого транспортными средствами в качестве моторного топлива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энергетической эффективности, в том числе по замещению бензина и дизельного топлива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 Основное мероприятие "Уличное освещение городского округа Люберцы"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32 726.00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491 176.81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89 111.00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100 499.94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101 187.65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100 189.11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100 189.11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32 726.00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491 176.81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89 111.00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100 499.94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101 187.65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100 189.11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100 189.11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15.1 Обеспечение энергоснабжения линий уличного освещения городского округа Люберцы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316 425.21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51 822.00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66 134.29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66 822.00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65 823.46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65 823.46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316 425.21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51 822.00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66 134.29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66 822.00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65 823.46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65 823.46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15.2 Обеспечения текущего содержания линий уличного освещения городского округа Люберцы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освещенных улиц, проездов, набережных, площадей к концу 2022 года - до 100 %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29 726.00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165 907.60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30 445.00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29 726.00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165 907.60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30 445.00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15.3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15.3 Развитие сетей освещения городского округа Люберцы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6 344.00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6 344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6 344.00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6 344.00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15.4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15.4 Замена светильников наружного освещения улично-дорожной сети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для внутридомового освещения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энергосберегающие 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Сокращение уровня износа электросетевого хозяйства систем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наружного освещения с применением СИП и высокоэффективных светильников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Основное мероприятие «Комплексное благоустройство дворовых территорий»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16.1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16.1 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Увеличение уровня освещенности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 Основное мероприятие «Модернизация и устройство систем наружного освещения городского округа Люберцы в целях приведения уровня освещенности до нормативных значений»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Увеличение количества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 xml:space="preserve">Сокращение уровня износа электросетевого хозяйства систем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наружного освещения с применением СИП и высокоэффективных светильников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17 719.46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17 719.46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36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754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36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754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17.1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уровня освещенности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12 219.46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12 219.46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31 254.63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31 254.63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17.2 Разработка Паспорта объектов наружного освещения городского округа Люберцы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Доведение до показателя "Светлый город" к 2019 г. до 100 %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 Основное мероприятие "Мероприятия по развитию и модернизации сетей освещения, проводимые за счет внебюджетных средств"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1 562.10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1 336.30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367.70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312.10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256.50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1 562.10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1 336.30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367.70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312.10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256.50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18.1 Замена светильников уличного освещения на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энергоэкономические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(светодиодные)</w:t>
            </w:r>
            <w:proofErr w:type="gramEnd"/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527.60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456.80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123.20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105.60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527.60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456.80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123.20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105.60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18.2 Установка фотореле (приборов «день-ночь») на пунктах включения уличного и дворового освещения, подъездного освещения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доли современных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светильников в общем количестве светильников наружного освещения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127.50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127.50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18.3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18.3 Внедрение самонесущих изолированных проводов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907.00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774.50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214.50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181.50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148.50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907.00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774.50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214.50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181.50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148.50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19 Основное мероприятие "Обучение, участие в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конгресс-выставочных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19.1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19.1 Обучение ответственных лиц в области энергосбережения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повышения энергетической эффективности к концу 2022 года до 35,35 %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19.2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19.2 Реализация организационных мероприятий по энергосбережению и повышению энергетической эффективности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19.3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19.3 Информационно-разъяснительная и методическая работа по вопросам энергосбережения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доли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энергосбережения и повышения энергетической эффективности к концу 2022 года до 35,35 %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19.4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19.4 Назначение ответственных за энергосбережение в учреждениях и организациях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20 Основное мероприятие «Обеспечение 2-й категории надежности электроэнергии и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приборами учета ресурсов энергоснабжения в муниципальных образовательных учреждениях»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Администрация городского округа Люберцы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 xml:space="preserve">Доведение образовательных учреждений, подключенных по 2-й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категории надежности электроснабжения к концу 2019 года до 100%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9 572,65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9 572,65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9 572,65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9 572,65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20.1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20.1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Доведение муниципальных образовательных учреждений, оснащенных приборами учета потребляемых энергетических ресурсов к концу 2020 года до 100%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1 879.08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1 879.08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1 879.08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1 879.08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1185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20.2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20.2 Обеспечение   2-й категории надежности электроснабжения в образовательных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 xml:space="preserve">учреждениях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Администрация городского округа Люберцы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 xml:space="preserve">Доведение образовательных учреждений, подключенных по 2-й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категории надежности электроснабжения к концу 2019 года до 100%</w:t>
            </w:r>
          </w:p>
        </w:tc>
      </w:tr>
      <w:tr w:rsidR="00E56558" w:rsidTr="00E56558">
        <w:trPr>
          <w:trHeight w:val="16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7 693.57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7 693.57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7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7 693.57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7 693.57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 по программе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br/>
              <w:t>(подпрограмме)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583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118,75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1 051 847,96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275 123.13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206 161,46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192 151.15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189 206,11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56558" w:rsidRDefault="00E56558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189 206,11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19 035.17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19 035.17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75 005.15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559 268,07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140 420,46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113 241,74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103 867.65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100 869.11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100 869,11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trHeight w:val="420"/>
        </w:trPr>
        <w:tc>
          <w:tcPr>
            <w:tcW w:w="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508 113.60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473 544,72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115 667,50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92 919,72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88 283,50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88 337.00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558" w:rsidRDefault="00E56558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88 337.00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</w:tbl>
    <w:p w:rsidR="00E56558" w:rsidRDefault="00E56558" w:rsidP="00E56558">
      <w:pPr>
        <w:jc w:val="center"/>
        <w:rPr>
          <w:rFonts w:ascii="Arial" w:hAnsi="Arial" w:cs="Arial"/>
          <w:sz w:val="24"/>
          <w:szCs w:val="24"/>
        </w:rPr>
      </w:pPr>
    </w:p>
    <w:p w:rsidR="00E56558" w:rsidRDefault="00E56558" w:rsidP="00E56558">
      <w:pPr>
        <w:jc w:val="center"/>
        <w:rPr>
          <w:rFonts w:ascii="Arial" w:hAnsi="Arial" w:cs="Arial"/>
          <w:sz w:val="24"/>
          <w:szCs w:val="24"/>
        </w:rPr>
      </w:pPr>
    </w:p>
    <w:p w:rsidR="00E56558" w:rsidRDefault="00E56558" w:rsidP="00E56558">
      <w:pPr>
        <w:spacing w:after="16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56558" w:rsidRDefault="00E56558" w:rsidP="00E56558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E56558">
          <w:pgSz w:w="16838" w:h="11906" w:orient="landscape"/>
          <w:pgMar w:top="1701" w:right="1134" w:bottom="850" w:left="1134" w:header="708" w:footer="708" w:gutter="0"/>
          <w:cols w:space="720"/>
        </w:sect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"/>
        <w:gridCol w:w="176"/>
        <w:gridCol w:w="1401"/>
        <w:gridCol w:w="1648"/>
        <w:gridCol w:w="2036"/>
        <w:gridCol w:w="1551"/>
        <w:gridCol w:w="1517"/>
        <w:gridCol w:w="1584"/>
        <w:gridCol w:w="637"/>
        <w:gridCol w:w="637"/>
        <w:gridCol w:w="319"/>
        <w:gridCol w:w="318"/>
        <w:gridCol w:w="637"/>
        <w:gridCol w:w="637"/>
        <w:gridCol w:w="1516"/>
      </w:tblGrid>
      <w:tr w:rsidR="00E56558" w:rsidTr="00E56558">
        <w:trPr>
          <w:cantSplit/>
          <w:trHeight w:hRule="exact" w:val="2127"/>
        </w:trPr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   </w:t>
            </w:r>
          </w:p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Приложение № 2 к  Постановлению администрации городского округа Люберцы Московской области</w:t>
            </w:r>
          </w:p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 04.09.2019 № 3279-ПА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56558" w:rsidTr="00E56558">
        <w:trPr>
          <w:cantSplit/>
          <w:trHeight w:val="824"/>
        </w:trPr>
        <w:tc>
          <w:tcPr>
            <w:tcW w:w="149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 «Энергосбережение и повышение энергетической эффективности в городском округе Люберцы Московской области»</w:t>
            </w:r>
          </w:p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cantSplit/>
          <w:trHeight w:val="116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2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E56558" w:rsidTr="00E56558">
        <w:trPr>
          <w:cantSplit/>
          <w:trHeight w:hRule="exact"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558" w:rsidRDefault="00E565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cantSplit/>
          <w:trHeight w:hRule="exact" w:val="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E56558" w:rsidTr="00E56558">
        <w:trPr>
          <w:cantSplit/>
          <w:trHeight w:hRule="exact" w:val="237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44,51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43,41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42,31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41,21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39,01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15, 18</w:t>
            </w:r>
          </w:p>
          <w:p w:rsidR="00E56558" w:rsidRDefault="00E5655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56558" w:rsidTr="00E56558">
        <w:trPr>
          <w:cantSplit/>
          <w:trHeight w:hRule="exact" w:val="29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1,5</w:t>
            </w:r>
          </w:p>
        </w:tc>
      </w:tr>
      <w:tr w:rsidR="00E56558" w:rsidTr="00E56558">
        <w:trPr>
          <w:cantSplit/>
          <w:trHeight w:hRule="exact" w:val="24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82,30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86,60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92,61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6</w:t>
            </w:r>
          </w:p>
        </w:tc>
      </w:tr>
      <w:tr w:rsidR="00E56558" w:rsidTr="00E56558">
        <w:trPr>
          <w:cantSplit/>
          <w:trHeight w:hRule="exact" w:val="268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37,80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1, 3, 4, 5</w:t>
            </w:r>
          </w:p>
        </w:tc>
      </w:tr>
      <w:tr w:rsidR="00E56558" w:rsidTr="00E56558">
        <w:trPr>
          <w:cantSplit/>
          <w:trHeight w:hRule="exact" w:val="26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освещения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17</w:t>
            </w:r>
          </w:p>
        </w:tc>
      </w:tr>
      <w:tr w:rsidR="00E56558" w:rsidTr="00E56558">
        <w:trPr>
          <w:cantSplit/>
          <w:trHeight w:hRule="exact" w:val="23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27,50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28,99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30,62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32,23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2, 19</w:t>
            </w:r>
          </w:p>
        </w:tc>
      </w:tr>
      <w:tr w:rsidR="00E56558" w:rsidTr="00E56558">
        <w:trPr>
          <w:cantSplit/>
          <w:trHeight w:hRule="exact" w:val="24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многоквартирных домов, соответствующих нормальному классу энергетической эффективности и выше (А, B, C и 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104,00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127,00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6, 7, 8, 9</w:t>
            </w:r>
          </w:p>
        </w:tc>
      </w:tr>
      <w:tr w:rsidR="00E56558" w:rsidTr="00E56558">
        <w:trPr>
          <w:cantSplit/>
          <w:trHeight w:hRule="exact" w:val="2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9,99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9,89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E56558" w:rsidTr="00E56558">
        <w:trPr>
          <w:cantSplit/>
          <w:trHeight w:hRule="exact" w:val="21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2,69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2,59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</w:t>
            </w:r>
          </w:p>
        </w:tc>
      </w:tr>
      <w:tr w:rsidR="00E56558" w:rsidTr="00E56558">
        <w:trPr>
          <w:cantSplit/>
          <w:trHeight w:hRule="exact" w:val="25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Киловатт в час на 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12</w:t>
            </w:r>
          </w:p>
        </w:tc>
      </w:tr>
      <w:tr w:rsidR="00E56558" w:rsidTr="00E56558">
        <w:trPr>
          <w:cantSplit/>
          <w:trHeight w:hRule="exact" w:val="25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Киловатт-час/квадратный метр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11, 12, 13</w:t>
            </w:r>
          </w:p>
        </w:tc>
      </w:tr>
      <w:tr w:rsidR="00E56558" w:rsidTr="00E56558">
        <w:trPr>
          <w:cantSplit/>
          <w:trHeight w:hRule="exact" w:val="26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E56558" w:rsidTr="00E56558">
        <w:trPr>
          <w:cantSplit/>
          <w:trHeight w:hRule="exact" w:val="32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98,20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99,10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15, 16, 17</w:t>
            </w:r>
          </w:p>
        </w:tc>
      </w:tr>
      <w:tr w:rsidR="00E56558" w:rsidTr="00E56558">
        <w:trPr>
          <w:cantSplit/>
          <w:trHeight w:hRule="exact" w:val="25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15, 17, 18</w:t>
            </w:r>
          </w:p>
        </w:tc>
      </w:tr>
      <w:tr w:rsidR="00E56558" w:rsidTr="00E56558">
        <w:trPr>
          <w:cantSplit/>
          <w:trHeight w:hRule="exact" w:val="25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муниципальных образовательных учреждений, подключенных по 2-й категории надежности электроснабжения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</w:t>
            </w:r>
          </w:p>
        </w:tc>
      </w:tr>
      <w:tr w:rsidR="00E56558" w:rsidTr="00E56558">
        <w:trPr>
          <w:cantSplit/>
          <w:trHeight w:hRule="exact" w:val="25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муниципальных образовательных учреждений, оснащенных приборами учета энергетических ресурсов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99,02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</w:t>
            </w:r>
          </w:p>
        </w:tc>
      </w:tr>
      <w:tr w:rsidR="00E56558" w:rsidTr="00E56558">
        <w:trPr>
          <w:cantSplit/>
          <w:trHeight w:hRule="exact" w:val="25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многоквартирных домов с присвоенными классами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17,27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29,10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</w:t>
            </w:r>
          </w:p>
        </w:tc>
      </w:tr>
    </w:tbl>
    <w:p w:rsidR="00E56558" w:rsidRDefault="00E56558" w:rsidP="00E56558">
      <w:pPr>
        <w:rPr>
          <w:rFonts w:ascii="Arial" w:eastAsia="Times New Roman" w:hAnsi="Arial" w:cs="Arial"/>
          <w:sz w:val="24"/>
          <w:szCs w:val="24"/>
        </w:rPr>
      </w:pPr>
    </w:p>
    <w:p w:rsidR="00E56558" w:rsidRDefault="00E56558" w:rsidP="00E56558">
      <w:pPr>
        <w:rPr>
          <w:rFonts w:ascii="Arial" w:eastAsia="Times New Roman" w:hAnsi="Arial" w:cs="Arial"/>
          <w:sz w:val="24"/>
          <w:szCs w:val="24"/>
        </w:rPr>
      </w:pPr>
    </w:p>
    <w:p w:rsidR="00E56558" w:rsidRDefault="00E56558" w:rsidP="00E56558">
      <w:pPr>
        <w:rPr>
          <w:rFonts w:ascii="Arial" w:eastAsia="Times New Roman" w:hAnsi="Arial" w:cs="Arial"/>
          <w:sz w:val="24"/>
          <w:szCs w:val="24"/>
        </w:rPr>
      </w:pPr>
    </w:p>
    <w:p w:rsidR="00E56558" w:rsidRDefault="00E56558" w:rsidP="00E56558">
      <w:pPr>
        <w:rPr>
          <w:rFonts w:ascii="Arial" w:eastAsia="Times New Roman" w:hAnsi="Arial" w:cs="Arial"/>
          <w:sz w:val="24"/>
          <w:szCs w:val="24"/>
        </w:rPr>
      </w:pPr>
    </w:p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3938"/>
      </w:tblGrid>
      <w:tr w:rsidR="00E56558" w:rsidTr="00E56558">
        <w:trPr>
          <w:trHeight w:val="1698"/>
        </w:trPr>
        <w:tc>
          <w:tcPr>
            <w:tcW w:w="10740" w:type="dxa"/>
          </w:tcPr>
          <w:p w:rsidR="00E56558" w:rsidRDefault="00E5655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8" w:type="dxa"/>
          </w:tcPr>
          <w:p w:rsidR="00E56558" w:rsidRDefault="00E5655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3 к  Постановлению администрации городского округа Люберцы Московской области                  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от 04.09.2019 № 3279-ПА</w:t>
            </w:r>
          </w:p>
          <w:p w:rsidR="00E56558" w:rsidRDefault="00E5655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558" w:rsidTr="00E56558">
        <w:trPr>
          <w:trHeight w:val="646"/>
        </w:trPr>
        <w:tc>
          <w:tcPr>
            <w:tcW w:w="14678" w:type="dxa"/>
            <w:gridSpan w:val="2"/>
            <w:hideMark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Методика расчета значений показателей муниципальной программы «Энергосбережение и повышение энергетической эффективности в городском округе Люберцы Московской области</w:t>
            </w:r>
          </w:p>
        </w:tc>
      </w:tr>
      <w:tr w:rsidR="00E56558" w:rsidTr="00E56558">
        <w:trPr>
          <w:trHeight w:val="646"/>
        </w:trPr>
        <w:tc>
          <w:tcPr>
            <w:tcW w:w="10740" w:type="dxa"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938" w:type="dxa"/>
          </w:tcPr>
          <w:p w:rsidR="00E56558" w:rsidRDefault="00E5655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E56558" w:rsidRDefault="00E56558" w:rsidP="00E56558">
      <w:pPr>
        <w:spacing w:after="0"/>
        <w:rPr>
          <w:rFonts w:ascii="Arial" w:eastAsia="Times New Roman" w:hAnsi="Arial" w:cs="Arial"/>
          <w:vanish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5"/>
        <w:gridCol w:w="1984"/>
        <w:gridCol w:w="3025"/>
        <w:gridCol w:w="5932"/>
      </w:tblGrid>
      <w:tr w:rsidR="00E56558" w:rsidTr="00E56558">
        <w:trPr>
          <w:trHeight w:val="992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Источник данных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Порядок расчета показателя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 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ресурсов, 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в «ГИС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Энрегоэффективность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процентное отношение количества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общему количеству зданий, строений, сооружений органов местного самоуправления и муниципальных учреждений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 Бережливый учет  - Оснащенность многоквартирных домов приборами учета ресурсов, 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 ГАС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«Управление» - «Приборы учета МКД и ЖД»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«Бережливый учет» характеризует оснащенность многоквартирных домов общедомовыми (коллективными) приборами учета потребляемых энергетических ресурсов и рассчитывается по формуле: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= (К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мкд.хвс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пу.ээ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мкд.ээ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/4 х 100%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доля многоквартирных домов, оснащенных общедомовыми (коллективными) приборами учета, процент;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холодной воды, единица;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общее количество многоквартирных домов подлежащий оснащению общедомовыми (коллективными) приборами учета холодной воды, единица;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горячей воды, единица;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общее количество многоквартирных домов, подлежащих оснащению общедомовыми (коллективными) приборами учета горячей воды, единица;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.э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электрической энергии, единица;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 Доля зданий, строений, сооружений муниципальной собственности, соответствующих нормальному уровню энергетической эффективности и выше (А, B, C, D), (%)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ГИС «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Энергоэффективность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количества зданий, строений, сооружений муниципальной собственности, соответствующих нормальному уровню энергетической эффективности и выше (А, B, C, D) к общему количеству зданий, строений, сооружений муниципальной собственности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 Сокращение уровня износа электросетевого хозяйства систем наружного освещения с применением СИП и высокоэффективных светильников, 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Акты выполненных работ по прокладке самонесущего провода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формуле: 100-(ПСИП/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ОплНО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)*100, где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ПСИП - протяженность самонесущего изолированного провода,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км</w:t>
            </w:r>
            <w:proofErr w:type="gramEnd"/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ОплНО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общая протяженность линий наружного освещения,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км</w:t>
            </w:r>
            <w:proofErr w:type="gramEnd"/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 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ремонту, (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диниц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Акты выполненных работ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рассчитывается по факту реализации мероприятий в натуральном выражении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6. 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повышение энергетической эффективности, прошедших обучение по образовательным программам в области энергосбережения и повышения энергетической эффективности, (%)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Информация о лицах, прошедших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обучение по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образовательным программам в области энергосбережения и повышения энергетической эффективности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Значение показателя определяется как процентное отношение количества человек, ответственных за энергосбережение повышение энергетической эффективности, прошедших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обучение по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образовательным программам в области энергосбережения и повышения энергетической эффективности к общему количеству человек   ответственных за энергосбережение повышение энергетической эффективности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 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Информация об общей  протяженности освещению улиц, проездов, набережных к протяженности освещенных улиц, проездов, набережных с уровнем освещенности, соответствующему нормативным значениям в городском округе. Акты выполненных работ 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формуле: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 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 общ *100, где: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протяженность освещенных улиц, проездов, набережных с уровнем освещенности, соответствующему нормативным значениям в городском округе, км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общ – общая протяженность улиц, проездов, набережных в городском округе, км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8. Количество многоквартирных домов, соответствующих нормальному классу энергетической эффективности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выше (А, B, C и D), единиц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АИС ГЖИ МО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Значение показателя рассчитывается по факту присвоения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9. Доля потерь тепловой энергии при ее передаче в общем объеме переданной тепловой энергии, процент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«1-ТЭП»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определяется по формуле: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Отэ.потери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ОПсубъект.тэ.общий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∙ 100 (%),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потерь тепловой энергии при ее передаче на территории субъекта Российской Федерации, Гкал;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ОПсубъек.тэ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переданной тепловой энергии на территории субъекта Российской Федерации, Гкал.</w:t>
            </w:r>
          </w:p>
        </w:tc>
      </w:tr>
      <w:tr w:rsidR="00E56558" w:rsidTr="00E56558">
        <w:trPr>
          <w:trHeight w:val="2829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10. Доля потерь воды при ее передаче в общем объеме переданной воды, процент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определяется по формуле: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ОПсубъект.гвс.общий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ОПсубъект.хвс.общий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)) ∙ 100) (%),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потерь воды при ее передаче на территории субъекта Российской Федерации, тыс. куб. м;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потребления (использования) на территории субъекта Российской Федерации горячей воды, тыс. куб. м;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ОПсубъект.xвс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потребления (использования) на территории субъекта Российской Федерации холодной воды, тыс. куб. м.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11. Удельный расход электрической энергии, используемой при передаче тепловой энергии в системах теплоснабжения, киловатт в час на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киловатт в час на 1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«1-ТЭП»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при передаче тепловой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энергии в системах теплоснабжения (</w:t>
            </w:r>
            <w:proofErr w:type="gramEnd"/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), определяется по формуле: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 = ОП / ОТ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ээ.передача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/куб. м),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потребления электрической энергии для передачи тепловой энергии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 системах теплоснабжения на территории субъекта Российской Федерации,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ОТтн</w:t>
            </w:r>
            <w:proofErr w:type="spellEnd"/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- объем транспортировки теплоносителя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системе теплоснабжения на территории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субъекта Российской Федерации, тыс. куб. м.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12 Удельный расход электрической энергии, используемой для передачи (транспортировки) воды в системах водоснабжения (на 1 куб. метр), киловатт-час/квадратный метр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киловатт-час/квадратный метр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(транспортировки) воды в системах водоснабжения (на 1 куб. метр)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), определяется по формуле: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ОПээ.передача.вс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ОП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субъект.гвс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общий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ОПсубъект.хвс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общий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тыс.кВт·ч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/куб. м),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объем потребления электрической энергии для передачи воды в системах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водоснабжения на территории субъекта Российской Федерации,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</w:t>
            </w:r>
            <w:proofErr w:type="spellEnd"/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объем потерь воды при ее передаче на территории субъекта Российской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Федерации, куб. м;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- общий объем потребления (использования) на территории субъекта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Российской Федерации горячей воды, куб. м;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общий объем потребления (использования) на территории субъекта</w:t>
            </w:r>
          </w:p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Российской Федерации холодной воды, куб. м.</w:t>
            </w:r>
          </w:p>
        </w:tc>
      </w:tr>
      <w:tr w:rsidR="00E56558" w:rsidTr="00E56558">
        <w:trPr>
          <w:trHeight w:val="3538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13.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топлива, единиц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Информация о наличии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факту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14. 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 ГАС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«Управление», информация о наличии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количества светильников наружного освещения, управление которыми осуществляется с использованием автоматизированных систем управления наружным освещением к общему количеству светильников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 Доля муниципальных образовательных учреждений, подключенных по 2-й категории надежности электроснабжения.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Информация о наличии муниципальных образовательных учреждений, подключенных по 2-й категории надежности электроснабжения.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16. Доля муниципальных образовательных учреждений, оснащенных приборами учета энергетических ресурсов.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 ГАС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«Управление», уровень оснащенности муниципальных учреждений приборами учета энергетических ресурсов.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количества муниципальных образовательных учреждений, в которых установлены необходимые приборы учета энергетических ресурсов к общему количеству муниципальных образовательных учреждений.</w:t>
            </w:r>
          </w:p>
        </w:tc>
      </w:tr>
      <w:tr w:rsidR="00E56558" w:rsidTr="00E56558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 Доля МКД с присвоенными классами энергетической эффективности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АИС ГЖИ МО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58" w:rsidRDefault="00E5655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количество МКД с присвоенным классом энергетической эффективности к общему количеству МКД.</w:t>
            </w:r>
          </w:p>
        </w:tc>
      </w:tr>
    </w:tbl>
    <w:p w:rsidR="00E56558" w:rsidRDefault="00E56558" w:rsidP="00E56558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C96A5F" w:rsidRDefault="00C96A5F">
      <w:bookmarkStart w:id="0" w:name="_GoBack"/>
      <w:bookmarkEnd w:id="0"/>
    </w:p>
    <w:sectPr w:rsidR="00C96A5F" w:rsidSect="00E565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1262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77" w:hanging="375"/>
      </w:pPr>
      <w:rPr>
        <w:rFonts w:ascii="Arial" w:hAnsi="Arial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2" w:hanging="2160"/>
      </w:pPr>
      <w:rPr>
        <w:rFonts w:cs="Times New Roman"/>
      </w:rPr>
    </w:lvl>
  </w:abstractNum>
  <w:abstractNum w:abstractNumId="2">
    <w:nsid w:val="06B32F64"/>
    <w:multiLevelType w:val="multilevel"/>
    <w:tmpl w:val="D5C8076E"/>
    <w:lvl w:ilvl="0">
      <w:start w:val="1"/>
      <w:numFmt w:val="decimal"/>
      <w:lvlText w:val="%1."/>
      <w:lvlJc w:val="left"/>
      <w:pPr>
        <w:ind w:left="12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277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6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82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982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2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342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702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062" w:hanging="2160"/>
      </w:pPr>
      <w:rPr>
        <w:rFonts w:cs="Times New Roman"/>
      </w:rPr>
    </w:lvl>
  </w:abstractNum>
  <w:abstractNum w:abstractNumId="3">
    <w:nsid w:val="0DFC3CE7"/>
    <w:multiLevelType w:val="hybridMultilevel"/>
    <w:tmpl w:val="5E648420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94F80"/>
    <w:multiLevelType w:val="hybridMultilevel"/>
    <w:tmpl w:val="41F6E1E8"/>
    <w:lvl w:ilvl="0" w:tplc="0419000F">
      <w:start w:val="2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>
    <w:nsid w:val="64F30233"/>
    <w:multiLevelType w:val="hybridMultilevel"/>
    <w:tmpl w:val="0C2EAFD6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A5F"/>
    <w:rsid w:val="00C96A5F"/>
    <w:rsid w:val="00E5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5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6558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6558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E565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E565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56558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565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56558"/>
    <w:rPr>
      <w:rFonts w:eastAsiaTheme="minorEastAsia" w:cs="Times New Roman"/>
      <w:lang w:eastAsia="ru-RU"/>
    </w:rPr>
  </w:style>
  <w:style w:type="paragraph" w:styleId="aa">
    <w:name w:val="caption"/>
    <w:basedOn w:val="a"/>
    <w:uiPriority w:val="35"/>
    <w:semiHidden/>
    <w:unhideWhenUsed/>
    <w:qFormat/>
    <w:rsid w:val="00E5655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2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E56558"/>
    <w:pPr>
      <w:suppressAutoHyphens/>
      <w:spacing w:after="140" w:line="288" w:lineRule="auto"/>
    </w:pPr>
    <w:rPr>
      <w:rFonts w:ascii="Times New Roman" w:hAnsi="Times New Roman"/>
      <w:kern w:val="2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E56558"/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styleId="ad">
    <w:name w:val="List"/>
    <w:basedOn w:val="ab"/>
    <w:uiPriority w:val="99"/>
    <w:semiHidden/>
    <w:unhideWhenUsed/>
    <w:rsid w:val="00E56558"/>
    <w:rPr>
      <w:rFonts w:cs="Noto Sans Devanagari"/>
    </w:rPr>
  </w:style>
  <w:style w:type="paragraph" w:styleId="ae">
    <w:name w:val="Balloon Text"/>
    <w:basedOn w:val="a"/>
    <w:link w:val="af"/>
    <w:uiPriority w:val="99"/>
    <w:semiHidden/>
    <w:unhideWhenUsed/>
    <w:rsid w:val="00E56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6558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No Spacing"/>
    <w:uiPriority w:val="1"/>
    <w:qFormat/>
    <w:rsid w:val="00E56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34"/>
    <w:locked/>
    <w:rsid w:val="00E56558"/>
    <w:rPr>
      <w:rFonts w:ascii="Calibri" w:eastAsiaTheme="minorEastAsia" w:hAnsi="Calibri" w:cs="Times New Roman"/>
      <w:sz w:val="24"/>
      <w:szCs w:val="24"/>
    </w:rPr>
  </w:style>
  <w:style w:type="paragraph" w:styleId="af2">
    <w:name w:val="List Paragraph"/>
    <w:basedOn w:val="a"/>
    <w:link w:val="af1"/>
    <w:uiPriority w:val="34"/>
    <w:qFormat/>
    <w:rsid w:val="00E56558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ConsPlusNonformat">
    <w:name w:val="ConsPlusNonformat"/>
    <w:uiPriority w:val="99"/>
    <w:semiHidden/>
    <w:rsid w:val="00E565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E56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Heading">
    <w:name w:val="Heading"/>
    <w:basedOn w:val="a"/>
    <w:next w:val="ab"/>
    <w:uiPriority w:val="99"/>
    <w:semiHidden/>
    <w:rsid w:val="00E5655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2"/>
      <w:sz w:val="28"/>
      <w:szCs w:val="28"/>
    </w:rPr>
  </w:style>
  <w:style w:type="paragraph" w:customStyle="1" w:styleId="Index">
    <w:name w:val="Index"/>
    <w:basedOn w:val="a"/>
    <w:uiPriority w:val="99"/>
    <w:semiHidden/>
    <w:rsid w:val="00E5655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2"/>
      <w:sz w:val="24"/>
      <w:szCs w:val="24"/>
    </w:rPr>
  </w:style>
  <w:style w:type="paragraph" w:customStyle="1" w:styleId="xl63">
    <w:name w:val="xl63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4">
    <w:name w:val="xl64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5">
    <w:name w:val="xl65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6">
    <w:name w:val="xl66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7">
    <w:name w:val="xl67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8">
    <w:name w:val="xl68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9">
    <w:name w:val="xl69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0">
    <w:name w:val="xl70"/>
    <w:basedOn w:val="a"/>
    <w:uiPriority w:val="99"/>
    <w:semiHidden/>
    <w:rsid w:val="00E56558"/>
    <w:pPr>
      <w:pBdr>
        <w:top w:val="single" w:sz="4" w:space="0" w:color="000001"/>
        <w:bottom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1">
    <w:name w:val="xl71"/>
    <w:basedOn w:val="a"/>
    <w:uiPriority w:val="99"/>
    <w:semiHidden/>
    <w:rsid w:val="00E56558"/>
    <w:pPr>
      <w:pBdr>
        <w:top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uiPriority w:val="99"/>
    <w:semiHidden/>
    <w:rsid w:val="00E5655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uiPriority w:val="99"/>
    <w:semiHidden/>
    <w:rsid w:val="00E56558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uiPriority w:val="99"/>
    <w:semiHidden/>
    <w:rsid w:val="00E5655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uiPriority w:val="99"/>
    <w:semiHidden/>
    <w:rsid w:val="00E56558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uiPriority w:val="99"/>
    <w:semiHidden/>
    <w:rsid w:val="00E56558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uiPriority w:val="99"/>
    <w:semiHidden/>
    <w:rsid w:val="00E56558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uiPriority w:val="99"/>
    <w:semiHidden/>
    <w:rsid w:val="00E56558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uiPriority w:val="99"/>
    <w:semiHidden/>
    <w:rsid w:val="00E56558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uiPriority w:val="99"/>
    <w:semiHidden/>
    <w:rsid w:val="00E56558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uiPriority w:val="99"/>
    <w:semiHidden/>
    <w:rsid w:val="00E56558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E56558"/>
    <w:rPr>
      <w:rFonts w:ascii="Times New Roman" w:hAnsi="Times New Roman" w:cs="Times New Roman" w:hint="default"/>
    </w:rPr>
  </w:style>
  <w:style w:type="character" w:customStyle="1" w:styleId="ListLabel1">
    <w:name w:val="ListLabel 1"/>
    <w:rsid w:val="00E56558"/>
  </w:style>
  <w:style w:type="character" w:customStyle="1" w:styleId="ListLabel2">
    <w:name w:val="ListLabel 2"/>
    <w:rsid w:val="00E56558"/>
  </w:style>
  <w:style w:type="character" w:customStyle="1" w:styleId="ListLabel3">
    <w:name w:val="ListLabel 3"/>
    <w:rsid w:val="00E56558"/>
  </w:style>
  <w:style w:type="character" w:customStyle="1" w:styleId="ListLabel4">
    <w:name w:val="ListLabel 4"/>
    <w:rsid w:val="00E56558"/>
  </w:style>
  <w:style w:type="character" w:customStyle="1" w:styleId="ListLabel5">
    <w:name w:val="ListLabel 5"/>
    <w:rsid w:val="00E56558"/>
  </w:style>
  <w:style w:type="character" w:customStyle="1" w:styleId="ListLabel6">
    <w:name w:val="ListLabel 6"/>
    <w:rsid w:val="00E56558"/>
  </w:style>
  <w:style w:type="character" w:customStyle="1" w:styleId="ListLabel7">
    <w:name w:val="ListLabel 7"/>
    <w:rsid w:val="00E56558"/>
  </w:style>
  <w:style w:type="character" w:customStyle="1" w:styleId="ListLabel8">
    <w:name w:val="ListLabel 8"/>
    <w:rsid w:val="00E56558"/>
  </w:style>
  <w:style w:type="character" w:customStyle="1" w:styleId="ListLabel9">
    <w:name w:val="ListLabel 9"/>
    <w:rsid w:val="00E56558"/>
  </w:style>
  <w:style w:type="character" w:customStyle="1" w:styleId="ListLabel10">
    <w:name w:val="ListLabel 10"/>
    <w:rsid w:val="00E56558"/>
    <w:rPr>
      <w:rFonts w:ascii="Arial" w:hAnsi="Arial" w:cs="Arial" w:hint="default"/>
      <w:b/>
      <w:bCs w:val="0"/>
    </w:rPr>
  </w:style>
  <w:style w:type="character" w:customStyle="1" w:styleId="ListLabel11">
    <w:name w:val="ListLabel 11"/>
    <w:rsid w:val="00E56558"/>
  </w:style>
  <w:style w:type="character" w:customStyle="1" w:styleId="ListLabel12">
    <w:name w:val="ListLabel 12"/>
    <w:rsid w:val="00E56558"/>
  </w:style>
  <w:style w:type="character" w:customStyle="1" w:styleId="ListLabel13">
    <w:name w:val="ListLabel 13"/>
    <w:rsid w:val="00E56558"/>
  </w:style>
  <w:style w:type="character" w:customStyle="1" w:styleId="ListLabel14">
    <w:name w:val="ListLabel 14"/>
    <w:rsid w:val="00E56558"/>
  </w:style>
  <w:style w:type="character" w:customStyle="1" w:styleId="ListLabel15">
    <w:name w:val="ListLabel 15"/>
    <w:rsid w:val="00E56558"/>
  </w:style>
  <w:style w:type="character" w:customStyle="1" w:styleId="ListLabel16">
    <w:name w:val="ListLabel 16"/>
    <w:rsid w:val="00E56558"/>
  </w:style>
  <w:style w:type="character" w:customStyle="1" w:styleId="ListLabel17">
    <w:name w:val="ListLabel 17"/>
    <w:rsid w:val="00E56558"/>
  </w:style>
  <w:style w:type="character" w:customStyle="1" w:styleId="ListLabel18">
    <w:name w:val="ListLabel 18"/>
    <w:rsid w:val="00E56558"/>
  </w:style>
  <w:style w:type="character" w:customStyle="1" w:styleId="ListLabel19">
    <w:name w:val="ListLabel 19"/>
    <w:rsid w:val="00E56558"/>
    <w:rPr>
      <w:rFonts w:ascii="Arial" w:hAnsi="Arial" w:cs="Arial" w:hint="default"/>
      <w:b/>
      <w:bCs w:val="0"/>
    </w:rPr>
  </w:style>
  <w:style w:type="character" w:customStyle="1" w:styleId="ListLabel20">
    <w:name w:val="ListLabel 20"/>
    <w:rsid w:val="00E56558"/>
    <w:rPr>
      <w:rFonts w:ascii="Arial" w:hAnsi="Arial" w:cs="Arial" w:hint="default"/>
      <w:b/>
      <w:bCs w:val="0"/>
    </w:rPr>
  </w:style>
  <w:style w:type="character" w:customStyle="1" w:styleId="ListLabel21">
    <w:name w:val="ListLabel 21"/>
    <w:rsid w:val="00E56558"/>
  </w:style>
  <w:style w:type="character" w:customStyle="1" w:styleId="ListLabel22">
    <w:name w:val="ListLabel 22"/>
    <w:rsid w:val="00E56558"/>
  </w:style>
  <w:style w:type="character" w:customStyle="1" w:styleId="ListLabel23">
    <w:name w:val="ListLabel 23"/>
    <w:rsid w:val="00E56558"/>
  </w:style>
  <w:style w:type="character" w:customStyle="1" w:styleId="ListLabel24">
    <w:name w:val="ListLabel 24"/>
    <w:rsid w:val="00E56558"/>
  </w:style>
  <w:style w:type="character" w:customStyle="1" w:styleId="ListLabel25">
    <w:name w:val="ListLabel 25"/>
    <w:rsid w:val="00E56558"/>
  </w:style>
  <w:style w:type="character" w:customStyle="1" w:styleId="ListLabel26">
    <w:name w:val="ListLabel 26"/>
    <w:rsid w:val="00E56558"/>
  </w:style>
  <w:style w:type="character" w:customStyle="1" w:styleId="ListLabel27">
    <w:name w:val="ListLabel 27"/>
    <w:rsid w:val="00E56558"/>
  </w:style>
  <w:style w:type="table" w:styleId="af4">
    <w:name w:val="Table Grid"/>
    <w:basedOn w:val="a1"/>
    <w:uiPriority w:val="59"/>
    <w:rsid w:val="00E56558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E56558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5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6558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6558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E565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E565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56558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565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56558"/>
    <w:rPr>
      <w:rFonts w:eastAsiaTheme="minorEastAsia" w:cs="Times New Roman"/>
      <w:lang w:eastAsia="ru-RU"/>
    </w:rPr>
  </w:style>
  <w:style w:type="paragraph" w:styleId="aa">
    <w:name w:val="caption"/>
    <w:basedOn w:val="a"/>
    <w:uiPriority w:val="35"/>
    <w:semiHidden/>
    <w:unhideWhenUsed/>
    <w:qFormat/>
    <w:rsid w:val="00E5655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2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E56558"/>
    <w:pPr>
      <w:suppressAutoHyphens/>
      <w:spacing w:after="140" w:line="288" w:lineRule="auto"/>
    </w:pPr>
    <w:rPr>
      <w:rFonts w:ascii="Times New Roman" w:hAnsi="Times New Roman"/>
      <w:kern w:val="2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E56558"/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styleId="ad">
    <w:name w:val="List"/>
    <w:basedOn w:val="ab"/>
    <w:uiPriority w:val="99"/>
    <w:semiHidden/>
    <w:unhideWhenUsed/>
    <w:rsid w:val="00E56558"/>
    <w:rPr>
      <w:rFonts w:cs="Noto Sans Devanagari"/>
    </w:rPr>
  </w:style>
  <w:style w:type="paragraph" w:styleId="ae">
    <w:name w:val="Balloon Text"/>
    <w:basedOn w:val="a"/>
    <w:link w:val="af"/>
    <w:uiPriority w:val="99"/>
    <w:semiHidden/>
    <w:unhideWhenUsed/>
    <w:rsid w:val="00E56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6558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No Spacing"/>
    <w:uiPriority w:val="1"/>
    <w:qFormat/>
    <w:rsid w:val="00E56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34"/>
    <w:locked/>
    <w:rsid w:val="00E56558"/>
    <w:rPr>
      <w:rFonts w:ascii="Calibri" w:eastAsiaTheme="minorEastAsia" w:hAnsi="Calibri" w:cs="Times New Roman"/>
      <w:sz w:val="24"/>
      <w:szCs w:val="24"/>
    </w:rPr>
  </w:style>
  <w:style w:type="paragraph" w:styleId="af2">
    <w:name w:val="List Paragraph"/>
    <w:basedOn w:val="a"/>
    <w:link w:val="af1"/>
    <w:uiPriority w:val="34"/>
    <w:qFormat/>
    <w:rsid w:val="00E56558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ConsPlusNonformat">
    <w:name w:val="ConsPlusNonformat"/>
    <w:uiPriority w:val="99"/>
    <w:semiHidden/>
    <w:rsid w:val="00E565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E56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Heading">
    <w:name w:val="Heading"/>
    <w:basedOn w:val="a"/>
    <w:next w:val="ab"/>
    <w:uiPriority w:val="99"/>
    <w:semiHidden/>
    <w:rsid w:val="00E5655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2"/>
      <w:sz w:val="28"/>
      <w:szCs w:val="28"/>
    </w:rPr>
  </w:style>
  <w:style w:type="paragraph" w:customStyle="1" w:styleId="Index">
    <w:name w:val="Index"/>
    <w:basedOn w:val="a"/>
    <w:uiPriority w:val="99"/>
    <w:semiHidden/>
    <w:rsid w:val="00E5655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2"/>
      <w:sz w:val="24"/>
      <w:szCs w:val="24"/>
    </w:rPr>
  </w:style>
  <w:style w:type="paragraph" w:customStyle="1" w:styleId="xl63">
    <w:name w:val="xl63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4">
    <w:name w:val="xl64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5">
    <w:name w:val="xl65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6">
    <w:name w:val="xl66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7">
    <w:name w:val="xl67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8">
    <w:name w:val="xl68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9">
    <w:name w:val="xl69"/>
    <w:basedOn w:val="a"/>
    <w:uiPriority w:val="99"/>
    <w:semiHidden/>
    <w:rsid w:val="00E5655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0">
    <w:name w:val="xl70"/>
    <w:basedOn w:val="a"/>
    <w:uiPriority w:val="99"/>
    <w:semiHidden/>
    <w:rsid w:val="00E56558"/>
    <w:pPr>
      <w:pBdr>
        <w:top w:val="single" w:sz="4" w:space="0" w:color="000001"/>
        <w:bottom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1">
    <w:name w:val="xl71"/>
    <w:basedOn w:val="a"/>
    <w:uiPriority w:val="99"/>
    <w:semiHidden/>
    <w:rsid w:val="00E56558"/>
    <w:pPr>
      <w:pBdr>
        <w:top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uiPriority w:val="99"/>
    <w:semiHidden/>
    <w:rsid w:val="00E5655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uiPriority w:val="99"/>
    <w:semiHidden/>
    <w:rsid w:val="00E56558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uiPriority w:val="99"/>
    <w:semiHidden/>
    <w:rsid w:val="00E5655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uiPriority w:val="99"/>
    <w:semiHidden/>
    <w:rsid w:val="00E56558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uiPriority w:val="99"/>
    <w:semiHidden/>
    <w:rsid w:val="00E56558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uiPriority w:val="99"/>
    <w:semiHidden/>
    <w:rsid w:val="00E56558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uiPriority w:val="99"/>
    <w:semiHidden/>
    <w:rsid w:val="00E5655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uiPriority w:val="99"/>
    <w:semiHidden/>
    <w:rsid w:val="00E56558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uiPriority w:val="99"/>
    <w:semiHidden/>
    <w:rsid w:val="00E5655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uiPriority w:val="99"/>
    <w:semiHidden/>
    <w:rsid w:val="00E56558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uiPriority w:val="99"/>
    <w:semiHidden/>
    <w:rsid w:val="00E56558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uiPriority w:val="99"/>
    <w:semiHidden/>
    <w:rsid w:val="00E56558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uiPriority w:val="99"/>
    <w:semiHidden/>
    <w:rsid w:val="00E56558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uiPriority w:val="99"/>
    <w:semiHidden/>
    <w:rsid w:val="00E5655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E56558"/>
    <w:rPr>
      <w:rFonts w:ascii="Times New Roman" w:hAnsi="Times New Roman" w:cs="Times New Roman" w:hint="default"/>
    </w:rPr>
  </w:style>
  <w:style w:type="character" w:customStyle="1" w:styleId="ListLabel1">
    <w:name w:val="ListLabel 1"/>
    <w:rsid w:val="00E56558"/>
  </w:style>
  <w:style w:type="character" w:customStyle="1" w:styleId="ListLabel2">
    <w:name w:val="ListLabel 2"/>
    <w:rsid w:val="00E56558"/>
  </w:style>
  <w:style w:type="character" w:customStyle="1" w:styleId="ListLabel3">
    <w:name w:val="ListLabel 3"/>
    <w:rsid w:val="00E56558"/>
  </w:style>
  <w:style w:type="character" w:customStyle="1" w:styleId="ListLabel4">
    <w:name w:val="ListLabel 4"/>
    <w:rsid w:val="00E56558"/>
  </w:style>
  <w:style w:type="character" w:customStyle="1" w:styleId="ListLabel5">
    <w:name w:val="ListLabel 5"/>
    <w:rsid w:val="00E56558"/>
  </w:style>
  <w:style w:type="character" w:customStyle="1" w:styleId="ListLabel6">
    <w:name w:val="ListLabel 6"/>
    <w:rsid w:val="00E56558"/>
  </w:style>
  <w:style w:type="character" w:customStyle="1" w:styleId="ListLabel7">
    <w:name w:val="ListLabel 7"/>
    <w:rsid w:val="00E56558"/>
  </w:style>
  <w:style w:type="character" w:customStyle="1" w:styleId="ListLabel8">
    <w:name w:val="ListLabel 8"/>
    <w:rsid w:val="00E56558"/>
  </w:style>
  <w:style w:type="character" w:customStyle="1" w:styleId="ListLabel9">
    <w:name w:val="ListLabel 9"/>
    <w:rsid w:val="00E56558"/>
  </w:style>
  <w:style w:type="character" w:customStyle="1" w:styleId="ListLabel10">
    <w:name w:val="ListLabel 10"/>
    <w:rsid w:val="00E56558"/>
    <w:rPr>
      <w:rFonts w:ascii="Arial" w:hAnsi="Arial" w:cs="Arial" w:hint="default"/>
      <w:b/>
      <w:bCs w:val="0"/>
    </w:rPr>
  </w:style>
  <w:style w:type="character" w:customStyle="1" w:styleId="ListLabel11">
    <w:name w:val="ListLabel 11"/>
    <w:rsid w:val="00E56558"/>
  </w:style>
  <w:style w:type="character" w:customStyle="1" w:styleId="ListLabel12">
    <w:name w:val="ListLabel 12"/>
    <w:rsid w:val="00E56558"/>
  </w:style>
  <w:style w:type="character" w:customStyle="1" w:styleId="ListLabel13">
    <w:name w:val="ListLabel 13"/>
    <w:rsid w:val="00E56558"/>
  </w:style>
  <w:style w:type="character" w:customStyle="1" w:styleId="ListLabel14">
    <w:name w:val="ListLabel 14"/>
    <w:rsid w:val="00E56558"/>
  </w:style>
  <w:style w:type="character" w:customStyle="1" w:styleId="ListLabel15">
    <w:name w:val="ListLabel 15"/>
    <w:rsid w:val="00E56558"/>
  </w:style>
  <w:style w:type="character" w:customStyle="1" w:styleId="ListLabel16">
    <w:name w:val="ListLabel 16"/>
    <w:rsid w:val="00E56558"/>
  </w:style>
  <w:style w:type="character" w:customStyle="1" w:styleId="ListLabel17">
    <w:name w:val="ListLabel 17"/>
    <w:rsid w:val="00E56558"/>
  </w:style>
  <w:style w:type="character" w:customStyle="1" w:styleId="ListLabel18">
    <w:name w:val="ListLabel 18"/>
    <w:rsid w:val="00E56558"/>
  </w:style>
  <w:style w:type="character" w:customStyle="1" w:styleId="ListLabel19">
    <w:name w:val="ListLabel 19"/>
    <w:rsid w:val="00E56558"/>
    <w:rPr>
      <w:rFonts w:ascii="Arial" w:hAnsi="Arial" w:cs="Arial" w:hint="default"/>
      <w:b/>
      <w:bCs w:val="0"/>
    </w:rPr>
  </w:style>
  <w:style w:type="character" w:customStyle="1" w:styleId="ListLabel20">
    <w:name w:val="ListLabel 20"/>
    <w:rsid w:val="00E56558"/>
    <w:rPr>
      <w:rFonts w:ascii="Arial" w:hAnsi="Arial" w:cs="Arial" w:hint="default"/>
      <w:b/>
      <w:bCs w:val="0"/>
    </w:rPr>
  </w:style>
  <w:style w:type="character" w:customStyle="1" w:styleId="ListLabel21">
    <w:name w:val="ListLabel 21"/>
    <w:rsid w:val="00E56558"/>
  </w:style>
  <w:style w:type="character" w:customStyle="1" w:styleId="ListLabel22">
    <w:name w:val="ListLabel 22"/>
    <w:rsid w:val="00E56558"/>
  </w:style>
  <w:style w:type="character" w:customStyle="1" w:styleId="ListLabel23">
    <w:name w:val="ListLabel 23"/>
    <w:rsid w:val="00E56558"/>
  </w:style>
  <w:style w:type="character" w:customStyle="1" w:styleId="ListLabel24">
    <w:name w:val="ListLabel 24"/>
    <w:rsid w:val="00E56558"/>
  </w:style>
  <w:style w:type="character" w:customStyle="1" w:styleId="ListLabel25">
    <w:name w:val="ListLabel 25"/>
    <w:rsid w:val="00E56558"/>
  </w:style>
  <w:style w:type="character" w:customStyle="1" w:styleId="ListLabel26">
    <w:name w:val="ListLabel 26"/>
    <w:rsid w:val="00E56558"/>
  </w:style>
  <w:style w:type="character" w:customStyle="1" w:styleId="ListLabel27">
    <w:name w:val="ListLabel 27"/>
    <w:rsid w:val="00E56558"/>
  </w:style>
  <w:style w:type="table" w:styleId="af4">
    <w:name w:val="Table Grid"/>
    <w:basedOn w:val="a1"/>
    <w:uiPriority w:val="59"/>
    <w:rsid w:val="00E56558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E56558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12100</Words>
  <Characters>68976</Characters>
  <Application>Microsoft Office Word</Application>
  <DocSecurity>0</DocSecurity>
  <Lines>574</Lines>
  <Paragraphs>161</Paragraphs>
  <ScaleCrop>false</ScaleCrop>
  <Company/>
  <LinksUpToDate>false</LinksUpToDate>
  <CharactersWithSpaces>80915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2019-09-20T06:34:00Z</dcterms:created>
  <dcterms:modified xsi:type="dcterms:W3CDTF">2019-09-20T06:36:00Z</dcterms:modified>
</cp:coreProperties>
</file>