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DA" w:rsidRPr="00324BDA" w:rsidRDefault="00324BDA" w:rsidP="00324BDA">
      <w:pPr>
        <w:shd w:val="clear" w:color="auto" w:fill="FFFFFF"/>
        <w:spacing w:after="204" w:line="240" w:lineRule="atLeast"/>
        <w:outlineLvl w:val="1"/>
        <w:rPr>
          <w:rFonts w:ascii="Arial" w:eastAsia="Times New Roman" w:hAnsi="Arial" w:cs="Arial"/>
          <w:b/>
          <w:bCs/>
          <w:color w:val="4D4D4D"/>
          <w:lang w:eastAsia="ru-RU"/>
        </w:rPr>
      </w:pPr>
      <w:r w:rsidRPr="00324BDA">
        <w:rPr>
          <w:rFonts w:ascii="Arial" w:eastAsia="Times New Roman" w:hAnsi="Arial" w:cs="Arial"/>
          <w:b/>
          <w:bCs/>
          <w:color w:val="4D4D4D"/>
          <w:lang w:eastAsia="ru-RU"/>
        </w:rPr>
        <w:t xml:space="preserve">Письмо Министерства энергетики РФ от 25 августа 2017 г. № АН-9414/09 “О единых рекомендациях по порядку передачи объектов </w:t>
      </w:r>
      <w:proofErr w:type="spellStart"/>
      <w:r w:rsidRPr="00324BDA">
        <w:rPr>
          <w:rFonts w:ascii="Arial" w:eastAsia="Times New Roman" w:hAnsi="Arial" w:cs="Arial"/>
          <w:b/>
          <w:bCs/>
          <w:color w:val="4D4D4D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b/>
          <w:bCs/>
          <w:color w:val="4D4D4D"/>
          <w:lang w:eastAsia="ru-RU"/>
        </w:rPr>
        <w:t xml:space="preserve"> хозяйства СНТ на баланс ТСО”</w:t>
      </w:r>
    </w:p>
    <w:p w:rsidR="00324BDA" w:rsidRPr="00324BDA" w:rsidRDefault="00324BDA" w:rsidP="00324BDA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1 сентября 2017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0" w:name="0"/>
      <w:bookmarkEnd w:id="0"/>
      <w:proofErr w:type="gram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 исполнение поручений Правительства Российской Федерации от 31 августа 2016 г. № ДМ-П11-5236 (пункт 3), от 20 декабря 2016 г. № АД-П9-7781 информируем о разработке Минэнерго России совместно с Минэкономразвития России и ФАС России </w:t>
      </w:r>
      <w:hyperlink r:id="rId4" w:anchor="1000" w:history="1">
        <w:r w:rsidRPr="00324BDA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единых рекомендаций</w:t>
        </w:r>
      </w:hyperlink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по порядку передачи объектов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хозяйства, принадлежащих садоводческим, огородническим и дачным некоммерческим объединениям граждан, на баланс территориальных сетевых организаций на добровольной основе (далее - рекомендации, СНТ, ТСО</w:t>
      </w:r>
      <w:proofErr w:type="gram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), при участии органов исполнительной власти Тюменской и Московской областей, а также ПАО «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Россети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».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 настоящее время продолжает оставаться острым вопрос обеспечения надежности снабжения потребителей, расположенных на территориях СНТ, электрической энергией, а также соблюдения требований к ее качеству. Практика показывает, что зачастую объекты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хозяйства СНТ предельно изношены, находятся в ненормативном техническом состоянии и требуют проведения реконструкции и выполнения мероприятий, направленных на обеспечение </w:t>
      </w:r>
      <w:proofErr w:type="gram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соблюдения требований правил устройства электроустановок</w:t>
      </w:r>
      <w:proofErr w:type="gram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правил технической эксплуатации, требований к границам охранных зон объектов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хозяйства и организации системы учета электрической энергии.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соответствии с изложенным просим довести </w:t>
      </w:r>
      <w:hyperlink r:id="rId5" w:anchor="1000" w:history="1">
        <w:r w:rsidRPr="00324BDA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рекомендации</w:t>
        </w:r>
      </w:hyperlink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до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СНТи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ТСО вашего региона и совместно с органами местного самоуправления оказать содействие СНТ, изъявившим желание передать свои объекты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хозяйства на баланс ТСО, в том числе по оформлению (восстановлению) документов, подтверждающих право собственности или иное законное право на объекты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хозяйства и земельные участки, на которых они расположены, а также обеспечить учет</w:t>
      </w:r>
      <w:proofErr w:type="gram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 полном объеме экономически обоснованных расходов на эксплуатацию объектов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хозяйства СНТ, переданных на баланс ТСО, при установлении тарифов на оказание услуг по передаче электрической энергии.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Приложение: на 5 л.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4"/>
        <w:gridCol w:w="1174"/>
      </w:tblGrid>
      <w:tr w:rsidR="00324BDA" w:rsidRPr="00324BDA" w:rsidTr="00324BDA">
        <w:tc>
          <w:tcPr>
            <w:tcW w:w="2500" w:type="pct"/>
            <w:hideMark/>
          </w:tcPr>
          <w:p w:rsidR="00324BDA" w:rsidRPr="00324BDA" w:rsidRDefault="00324BDA" w:rsidP="0032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324BDA" w:rsidRPr="00324BDA" w:rsidRDefault="00324BDA" w:rsidP="0032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32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Новак</w:t>
            </w:r>
            <w:proofErr w:type="spellEnd"/>
          </w:p>
        </w:tc>
      </w:tr>
    </w:tbl>
    <w:p w:rsidR="00324BDA" w:rsidRPr="00324BDA" w:rsidRDefault="00324BDA" w:rsidP="00324BDA">
      <w:pPr>
        <w:shd w:val="clear" w:color="auto" w:fill="FFFFFF"/>
        <w:spacing w:after="204" w:line="216" w:lineRule="atLeast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324BD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Единые рекомендации по порядку передачи объектов </w:t>
      </w:r>
      <w:proofErr w:type="spellStart"/>
      <w:r w:rsidRPr="00324BD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хозяйства, принадлежащих садоводческим, огородническим и дачным некоммерческим объединениям граждан на баланс территориальных сетевых организаций на добровольной основе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Единые рекомендации по порядку передачи объектов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хозяйства, принадлежащих садоводческим, огородническим и дачным некоммерческим объединениям граждан на баланс территориальных сетевых организаций на добровольной основе (далее - рекомендации, СНТ, ТСО) разработаны в целях содействия передаче объектов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хозяйства СНТ на баланс ТСО и повышения надежности электроснабжения потребителей, а также качества электрической энергии в соответствии с требованиями технических регламентов и иными обязательными требованиями.</w:t>
      </w:r>
      <w:proofErr w:type="gramEnd"/>
    </w:p>
    <w:p w:rsidR="00324BDA" w:rsidRPr="00324BDA" w:rsidRDefault="00324BDA" w:rsidP="00324BDA">
      <w:pPr>
        <w:shd w:val="clear" w:color="auto" w:fill="FFFFFF"/>
        <w:spacing w:after="204" w:line="216" w:lineRule="atLeast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324BD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Рекомендуемая последовательность действий при передаче объектов </w:t>
      </w:r>
      <w:proofErr w:type="spellStart"/>
      <w:r w:rsidRPr="00324BD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хозяйства СНТ на баланс ТСО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1. Направление СНТ в адрес ТСО, к электрическим сетям </w:t>
      </w:r>
      <w:proofErr w:type="gram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которой</w:t>
      </w:r>
      <w:proofErr w:type="gram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технологически присоединены объекты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хозяйства СНТ, предложения о приобретении электрических сетей, расположенных в границах СНТ.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Предложение направляется в произвольной форме с указанием сведений и характеристик объектов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хозяйства (протяженность воздушных и кабельных линий электропередачи по классам напряжения, количество и номинальная мощность силовых трансформаторов и др.), контактной информации, с приложением копий документов (при их наличии), указанных в </w:t>
      </w:r>
      <w:hyperlink r:id="rId6" w:anchor="11000" w:history="1">
        <w:r w:rsidRPr="00324BDA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приложении № 1</w:t>
        </w:r>
      </w:hyperlink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к рекомендациям.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 Проведение совместного выездного технического осмотра электрических сетей СНТ с инвентаризацией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электросетевых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объектов СНТ: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пригодных для эксплуатации без необходимости проведения их реконструкции;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пригодных для эксплуатации при условии возможности их реконструкции;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 непригодных </w:t>
      </w:r>
      <w:proofErr w:type="gram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для эксплуатации в связи с невозможностью проведения их реконструкции из-за расположения объектов на земельных участках</w:t>
      </w:r>
      <w:proofErr w:type="gram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общего пользования в труднодоступных и недоступных местах, на земельных участках, находящихся в собственности третьих лиц;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- бесхозяйных сетей, расположенных в границах СНТ.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При техническом осмотре, как правило, оценивается состояние объектов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хозяйства в соответствии с </w:t>
      </w:r>
      <w:hyperlink r:id="rId7" w:anchor="12000" w:history="1">
        <w:r w:rsidRPr="00324BDA">
          <w:rPr>
            <w:rFonts w:ascii="Arial" w:eastAsia="Times New Roman" w:hAnsi="Arial" w:cs="Arial"/>
            <w:color w:val="808080"/>
            <w:sz w:val="18"/>
            <w:u w:val="single"/>
            <w:lang w:eastAsia="ru-RU"/>
          </w:rPr>
          <w:t>приложением № 2</w:t>
        </w:r>
      </w:hyperlink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к настоящим рекомендациям.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3. </w:t>
      </w:r>
      <w:proofErr w:type="gram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Формирование перечня электрических сетей СНТ, возможных к передаче на баланс ТСО, исключающего непригодные для эксплуатации сети, и поставленные на учет в качестве бесхозяйных.</w:t>
      </w:r>
      <w:proofErr w:type="gramEnd"/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 Направление рекомендаций СНТ со стороны ТСО в отношении сетей, непригодных для эксплуатации на момент обследования, в зависимости от причин (указание объектов, для обслуживания которых должны быть выделены земельные участки, указание бесхозяйных объектов, для которых необходимо оформление прав).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5. Определение ТСО формы гражданско-правового договора, предусматривающего передачу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электросетевых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объектов СНТ на баланс ТСО (договор дарения, договор долгосрочной аренды, договор купли-продажи, договор купли-продажи будущего недвижимого имущества).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 Принятие СНТ решения о проведении общего собрания членов (собрания уполномоченных) СНТ способом, установленным Федеральным законом от 15 апреля 1998 г. № 66-ФЗ «О садоводческих, огороднических и дачных некоммерческих объединениях граждан».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 Проведение общего собрания членов (собрания уполномоченных) СНТ.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Повестка дня общего собрания членов (собрания уполномоченных) определяется индивидуально для каждого СНТ в зависимости </w:t>
      </w:r>
      <w:proofErr w:type="gram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от</w:t>
      </w:r>
      <w:proofErr w:type="gram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вида собственности отчуждаемого имущества (совместная собственность членов СНТ или собственность СНТ как юридического лица);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вида оснований использования земельных участков, на которых расположены отчуждаемые электросетевые объекты (собственность или постоянное бессрочное пользование);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видов отчуждаемых объектов недвижимости (электросетевые объекты и земельные участки под ними или только электросетевые объекты).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ТСО проводит консультативное сопровождение формирования повестки дня и проекта протокола общего собрания членов (собрания уполномоченных) СНТ с целью указания в протоколе всех существенных условий договора, предусматривающего передачу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электросетевых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объектов СНТ на баланс ТСО, а также указания действий, которые необходимо провести СНТ для заключения такого договора.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8. Проведение СНТ действий и работ, необходимых для заключения договора передачи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электросетевых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объектов СНТ на баланс ТСО, включающих (при необходимости):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совершение действий, необходимых для оформления права собственности на земельные участки под электросетевыми объектами;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 по бесхозяйным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электросетевым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объектам - оформление прав собственности, в том числе в судебном порядке;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 по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электросетевым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объектам, непригодным для эксплуатации - осуществление комплекса мероприятий по приведению их к состоянию, пригодному для дальнейшей эксплуатации или создание условий для возможности проведения их реконструкции (в случае непригодного для эксплуатации размещения объектов).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Предметом договором купли-продажи будущего недвижимого имущества должна являться передача ТСО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электросетевых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объектов, права на которые не зарегистрированы. Условиями данного договора предусматриваются: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обязательства СНТ по регистрации прав собственности на передаваемые объекты и выделению земельных участков под объектами (при отсутствии прав на земельные участки под объектами предусматривается также регистрация прав на земельные участки);</w:t>
      </w:r>
      <w:proofErr w:type="gramEnd"/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обязательства СНТ по последующей передаче на баланс ТСО зарегистрированных объектов и передаче во владение и (или) пользование ТСО образованных под этими объектами земельных участков.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9. Направление в адрес ТСО протоколов общего собрания членов (собрания уполномоченных) СНТ, документов и сведений, необходимых для заключения договора, предусматривающего передачу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электросетевых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объектов СНТ на баланс ТСО.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10. Подготовка ТСО пакета документов по сделке.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 xml:space="preserve">11. Заключение договора, предусматривающего передачу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электросетевых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объектов СНТ на баланс ТСО.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12. При заключении договора купли-продажи будущего недвижимого имущества - выполнение со стороны СНТ и ТСО условий, предусмотренных данным договором.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13. Подписание Акта приёма-передачи недвижимого имущества (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электросетевых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объектов и земельных участков под ними).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14. Оформление прав ТСО на приобретенные электросетевые объекты и установление охранных зон в соответствии с постановлением Правительства Российской Федерации от 24 февраля 2009 г. № 160 «О порядке установления охранных зон объектов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хозяйства и особых условий использования земельных участков, расположенных в границах таких зон».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Приложение № 1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324BD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Рекомендуемый перечень документов, направляемый СНТ в ТСО при передаче объектов </w:t>
      </w:r>
      <w:proofErr w:type="spellStart"/>
      <w:r w:rsidRPr="00324BD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хозяйства на баланс ТСО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Учредительные документы.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 Свидетельство о государственной регистрации юридического лица, выписка из ЕГРЮЛ (дата выдачи не более 2 мес.).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 Подтверждение полномочий единоличного исполнительного органа.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 Акт разграничения балансовой принадлежности и эксплуатационной ответственности сторон, а при его отсутствии допускается предоставление следующих документов: акт допуска электроустановки в эксплуатацию, технические условия и акт их выполнения, договор на строительство с актами ввода объектов, паспорта на оборудование, проект и сметы, договор купли-продажи объекта, договор энергоснабжения.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5. Протокол общего собрания с решением о передаче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имущества в ТСО на праве собственности или ином законном праве согласно требованиям устава (приложения к протоколу: перечень передаваемого имущества, перечень фактически запитанных потребителей).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6. Документы, подтверждающие право собственности или иное законное право на объекты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хозяйства.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7. Схема земельного участка СНТ с указанием расположения объектов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хозяйства, а также точек технологического присоединения к сетям ТСО.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Приложение № 2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324BD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Оценка состояния объектов </w:t>
      </w:r>
      <w:proofErr w:type="spellStart"/>
      <w:r w:rsidRPr="00324BD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электросетевого</w:t>
      </w:r>
      <w:proofErr w:type="spellEnd"/>
      <w:r w:rsidRPr="00324BD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хозяйства СНТ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Воздушные линии электропередачи 0,4 и 6 - 20 кВ: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состояние деревянных, железобетонных и металлических опор (загнивание древесины, растрескивание бетона стоек и приставок, состояние арматуры, состояние оттяжек и пр.);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состояние пролетов воздушных линий (длинные пролеты, несоблюдение габарита провода, несоблюдение расстояния от провода до строений, несоблюдение расстояния от проезжей части дорог);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 состояние трассы воздушных линий (ширина трассы, заросли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древеснокустарниковой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растительности);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 состояние неизолированного провода (скрутки, соединения, </w:t>
      </w:r>
      <w:proofErr w:type="spell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распушение</w:t>
      </w:r>
      <w:proofErr w:type="spell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обрывы проволок и т.д.);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состояние самонесущего изолированного провода (СИП) (крепление, соединения, состояние изоляции и т.д.);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состояние изоляторов (сколы, растрескивание изоляторов, неудовлетворительное состояние крюков и траверс);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 состояние грозозащитных устройств, заземляющих спусков и контуров заземления (отсутствие разрядников, ограничителей перенапряжения, искровых промежутков, отсутствие повторных заземлений на </w:t>
      </w:r>
      <w:proofErr w:type="gram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ВЛ</w:t>
      </w:r>
      <w:proofErr w:type="gram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0,4 кВ);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 состояние разъединителей и секционирующих выключателей </w:t>
      </w:r>
      <w:proofErr w:type="gramStart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B</w:t>
      </w:r>
      <w:proofErr w:type="gramEnd"/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Кабельные линии электропередачи 0,4 и 6 - 20 кВ: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- состояние кабеля и кабельных муфт (отсутствие исполнительной и технической документации, схем прокладки, результатов высоковольтных испытаний кабельной изоляции).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Трансформаторные пункты 6 - 20/0,4 кВ: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состояние охранной зоны ТП (заросли древесно-кустарниковой растительности);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состояние ограждения и конструкций ТП (отсутствие ограждения, площадок обслуживания, состояние фундамента, коррозия конструкций и корпусов, отсутствие дверей и замков);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состояние трансформатора (отсутствие исполнительной и технической документации, результатов высоковольтных испытаний кабельной изоляции и анализа масла, низкий уровень масла, протечки масла, коррозия корпуса);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состояние оборудования РУ 6-20 кВ и РУ 0,4 кВ (вводов, проходных и опорных изоляторов, токоведущих шин, разъединителей, рубильников, автоматических выключателей, ограничителей перенапряжения, разрядников и пр.);</w:t>
      </w:r>
    </w:p>
    <w:p w:rsidR="00324BDA" w:rsidRPr="00324BDA" w:rsidRDefault="00324BDA" w:rsidP="00324BDA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24B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состояние контура заземления ТП 6-20/0,4 кВ.</w:t>
      </w:r>
    </w:p>
    <w:p w:rsidR="00B33CC8" w:rsidRDefault="00B33CC8"/>
    <w:sectPr w:rsidR="00B33CC8" w:rsidSect="00B3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BDA"/>
    <w:rsid w:val="00244CDA"/>
    <w:rsid w:val="00324BDA"/>
    <w:rsid w:val="00467259"/>
    <w:rsid w:val="00916FB2"/>
    <w:rsid w:val="009E40D8"/>
    <w:rsid w:val="00B33CC8"/>
    <w:rsid w:val="00D5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C8"/>
  </w:style>
  <w:style w:type="paragraph" w:styleId="2">
    <w:name w:val="heading 2"/>
    <w:basedOn w:val="a"/>
    <w:link w:val="20"/>
    <w:uiPriority w:val="9"/>
    <w:qFormat/>
    <w:rsid w:val="00324B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4B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4B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4B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4B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8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819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165400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654002/" TargetMode="External"/><Relationship Id="rId5" Type="http://schemas.openxmlformats.org/officeDocument/2006/relationships/hyperlink" Target="https://www.garant.ru/products/ipo/prime/doc/71654002/" TargetMode="External"/><Relationship Id="rId4" Type="http://schemas.openxmlformats.org/officeDocument/2006/relationships/hyperlink" Target="https://www.garant.ru/products/ipo/prime/doc/7165400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1837</Words>
  <Characters>10476</Characters>
  <Application>Microsoft Office Word</Application>
  <DocSecurity>0</DocSecurity>
  <Lines>87</Lines>
  <Paragraphs>24</Paragraphs>
  <ScaleCrop>false</ScaleCrop>
  <Company/>
  <LinksUpToDate>false</LinksUpToDate>
  <CharactersWithSpaces>12289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2019-12-13T09:29:00Z</dcterms:created>
  <dcterms:modified xsi:type="dcterms:W3CDTF">2019-12-13T09:29:00Z</dcterms:modified>
</cp:coreProperties>
</file>