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03" w:rsidRPr="008C2C68" w:rsidRDefault="00C92E03" w:rsidP="00A03C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03C55" w:rsidRPr="008C2C68" w:rsidRDefault="00A03C55" w:rsidP="00A03C5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8C2C68">
        <w:rPr>
          <w:rFonts w:ascii="Arial" w:hAnsi="Arial" w:cs="Arial"/>
          <w:color w:val="000000"/>
        </w:rPr>
        <w:t>АДМИНИСТРАЦИЯ</w:t>
      </w:r>
    </w:p>
    <w:p w:rsidR="00A03C55" w:rsidRPr="008C2C68" w:rsidRDefault="00A03C55" w:rsidP="00A03C5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8C2C68">
        <w:rPr>
          <w:rFonts w:ascii="Arial" w:hAnsi="Arial" w:cs="Arial"/>
          <w:color w:val="000000"/>
        </w:rPr>
        <w:t>МУНИЦИПАЛЬНОГО ОБРАЗОВАНИЯ</w:t>
      </w:r>
      <w:r w:rsidRPr="008C2C68">
        <w:rPr>
          <w:rFonts w:ascii="Arial" w:hAnsi="Arial" w:cs="Arial"/>
          <w:color w:val="000000"/>
        </w:rPr>
        <w:br/>
        <w:t>ГОРОДСКОЙ ОКРУГ ЛЮБЕРЦЫ</w:t>
      </w:r>
      <w:r w:rsidRPr="008C2C68">
        <w:rPr>
          <w:rFonts w:ascii="Arial" w:hAnsi="Arial" w:cs="Arial"/>
          <w:color w:val="000000"/>
        </w:rPr>
        <w:br/>
        <w:t>МОСКОВСКОЙ ОБЛАСТИ</w:t>
      </w:r>
    </w:p>
    <w:p w:rsidR="00A03C55" w:rsidRPr="008C2C68" w:rsidRDefault="00A03C55" w:rsidP="00A03C55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 w:rsidRPr="008C2C68">
        <w:rPr>
          <w:rFonts w:ascii="Arial" w:hAnsi="Arial" w:cs="Arial"/>
          <w:color w:val="000000"/>
        </w:rPr>
        <w:t>ПОСТАНОВЛЕНИЕ</w:t>
      </w:r>
    </w:p>
    <w:p w:rsidR="00A03C55" w:rsidRPr="00A03C55" w:rsidRDefault="00A03C55" w:rsidP="00A03C55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</w:p>
    <w:p w:rsidR="00C92E03" w:rsidRPr="00A03C55" w:rsidRDefault="00A03C55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10.02.2021</w:t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C2C68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</w:t>
      </w:r>
      <w:r w:rsidRPr="00A03C55">
        <w:rPr>
          <w:rFonts w:ascii="Arial" w:hAnsi="Arial" w:cs="Arial"/>
          <w:sz w:val="24"/>
          <w:szCs w:val="24"/>
        </w:rPr>
        <w:t>392-ПА</w:t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</w:p>
    <w:p w:rsidR="00C92E03" w:rsidRPr="00A03C5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750A3" w:rsidRDefault="008C2C68" w:rsidP="008C2C6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C2C68" w:rsidRPr="00A03C55" w:rsidRDefault="008C2C68" w:rsidP="008C2C6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A03C55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 xml:space="preserve">Об </w:t>
      </w:r>
      <w:r w:rsidR="00445FEE" w:rsidRPr="00A03C55">
        <w:rPr>
          <w:rFonts w:ascii="Arial" w:hAnsi="Arial" w:cs="Arial"/>
          <w:b/>
          <w:sz w:val="24"/>
          <w:szCs w:val="24"/>
        </w:rPr>
        <w:t xml:space="preserve">утверждении </w:t>
      </w:r>
      <w:r w:rsidR="002E689A" w:rsidRPr="00A03C55">
        <w:rPr>
          <w:rFonts w:ascii="Arial" w:hAnsi="Arial" w:cs="Arial"/>
          <w:b/>
          <w:sz w:val="24"/>
          <w:szCs w:val="24"/>
        </w:rPr>
        <w:t xml:space="preserve">ключевых показателей и методики расчета ключевых </w:t>
      </w:r>
      <w:r w:rsidR="0005432F" w:rsidRPr="00A03C55">
        <w:rPr>
          <w:rFonts w:ascii="Arial" w:hAnsi="Arial" w:cs="Arial"/>
          <w:b/>
          <w:sz w:val="24"/>
          <w:szCs w:val="24"/>
        </w:rPr>
        <w:t>показателей эффективности функционирования</w:t>
      </w:r>
      <w:r w:rsidR="00652E6E" w:rsidRPr="00A03C55">
        <w:rPr>
          <w:rFonts w:ascii="Arial" w:hAnsi="Arial" w:cs="Arial"/>
          <w:b/>
          <w:sz w:val="24"/>
          <w:szCs w:val="24"/>
        </w:rPr>
        <w:t xml:space="preserve"> ант</w:t>
      </w:r>
      <w:r w:rsidR="005A7F75" w:rsidRPr="00A03C55">
        <w:rPr>
          <w:rFonts w:ascii="Arial" w:hAnsi="Arial" w:cs="Arial"/>
          <w:b/>
          <w:sz w:val="24"/>
          <w:szCs w:val="24"/>
        </w:rPr>
        <w:t xml:space="preserve">имонопольного </w:t>
      </w:r>
      <w:proofErr w:type="spellStart"/>
      <w:r w:rsidR="0005432F" w:rsidRPr="00A03C55">
        <w:rPr>
          <w:rFonts w:ascii="Arial" w:hAnsi="Arial" w:cs="Arial"/>
          <w:b/>
          <w:sz w:val="24"/>
          <w:szCs w:val="24"/>
        </w:rPr>
        <w:t>комплаенса</w:t>
      </w:r>
      <w:proofErr w:type="spellEnd"/>
    </w:p>
    <w:p w:rsidR="008750A3" w:rsidRPr="00A03C55" w:rsidRDefault="0005432F" w:rsidP="008750A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 xml:space="preserve"> в</w:t>
      </w:r>
      <w:r w:rsidR="00652E6E" w:rsidRPr="00A03C55">
        <w:rPr>
          <w:rFonts w:ascii="Arial" w:hAnsi="Arial" w:cs="Arial"/>
          <w:b/>
          <w:sz w:val="24"/>
          <w:szCs w:val="24"/>
        </w:rPr>
        <w:t xml:space="preserve"> администрации городского округа Люберцы</w:t>
      </w:r>
    </w:p>
    <w:p w:rsidR="00C92E03" w:rsidRPr="00A03C5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A03C55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03C5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A03C55">
          <w:rPr>
            <w:rFonts w:ascii="Arial" w:hAnsi="Arial" w:cs="Arial"/>
            <w:sz w:val="24"/>
            <w:szCs w:val="24"/>
          </w:rPr>
          <w:t>законом</w:t>
        </w:r>
      </w:hyperlink>
      <w:r w:rsidRPr="00A03C55">
        <w:rPr>
          <w:rFonts w:ascii="Arial" w:hAnsi="Arial" w:cs="Arial"/>
          <w:sz w:val="24"/>
          <w:szCs w:val="24"/>
        </w:rPr>
        <w:t xml:space="preserve"> от 06.10.2003 </w:t>
      </w:r>
      <w:r w:rsidR="00445FEE" w:rsidRPr="00A03C55">
        <w:rPr>
          <w:rFonts w:ascii="Arial" w:hAnsi="Arial" w:cs="Arial"/>
          <w:sz w:val="24"/>
          <w:szCs w:val="24"/>
        </w:rPr>
        <w:t>№</w:t>
      </w:r>
      <w:r w:rsidR="00C37AC8" w:rsidRPr="00A03C55">
        <w:rPr>
          <w:rFonts w:ascii="Arial" w:hAnsi="Arial" w:cs="Arial"/>
          <w:sz w:val="24"/>
          <w:szCs w:val="24"/>
        </w:rPr>
        <w:t xml:space="preserve"> 131-ФЗ «</w:t>
      </w:r>
      <w:r w:rsidRPr="00A03C55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C37AC8" w:rsidRPr="00A03C55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A03C5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A03C55">
          <w:rPr>
            <w:rFonts w:ascii="Arial" w:hAnsi="Arial" w:cs="Arial"/>
            <w:sz w:val="24"/>
            <w:szCs w:val="24"/>
          </w:rPr>
          <w:t>Указом</w:t>
        </w:r>
      </w:hyperlink>
      <w:r w:rsidRPr="00A03C55">
        <w:rPr>
          <w:rFonts w:ascii="Arial" w:hAnsi="Arial" w:cs="Arial"/>
          <w:sz w:val="24"/>
          <w:szCs w:val="24"/>
        </w:rPr>
        <w:t xml:space="preserve"> Президента Российской Федерации от 21.12.2017 </w:t>
      </w:r>
      <w:r w:rsidR="00445FEE" w:rsidRPr="00A03C55">
        <w:rPr>
          <w:rFonts w:ascii="Arial" w:hAnsi="Arial" w:cs="Arial"/>
          <w:sz w:val="24"/>
          <w:szCs w:val="24"/>
        </w:rPr>
        <w:t>№</w:t>
      </w:r>
      <w:r w:rsidR="00C37AC8" w:rsidRPr="00A03C55">
        <w:rPr>
          <w:rFonts w:ascii="Arial" w:hAnsi="Arial" w:cs="Arial"/>
          <w:sz w:val="24"/>
          <w:szCs w:val="24"/>
        </w:rPr>
        <w:t xml:space="preserve"> 618 «</w:t>
      </w:r>
      <w:r w:rsidRPr="00A03C55">
        <w:rPr>
          <w:rFonts w:ascii="Arial" w:hAnsi="Arial" w:cs="Arial"/>
          <w:sz w:val="24"/>
          <w:szCs w:val="24"/>
        </w:rPr>
        <w:t>Об основных направлениях государственной политики по развити</w:t>
      </w:r>
      <w:r w:rsidR="00C37AC8" w:rsidRPr="00A03C55">
        <w:rPr>
          <w:rFonts w:ascii="Arial" w:hAnsi="Arial" w:cs="Arial"/>
          <w:sz w:val="24"/>
          <w:szCs w:val="24"/>
        </w:rPr>
        <w:t>ю конкуренции»</w:t>
      </w:r>
      <w:r w:rsidRPr="00A03C55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445FEE" w:rsidRPr="00A03C55">
          <w:rPr>
            <w:rFonts w:ascii="Arial" w:hAnsi="Arial" w:cs="Arial"/>
            <w:sz w:val="24"/>
            <w:szCs w:val="24"/>
          </w:rPr>
          <w:t>Р</w:t>
        </w:r>
        <w:r w:rsidRPr="00A03C55">
          <w:rPr>
            <w:rFonts w:ascii="Arial" w:hAnsi="Arial" w:cs="Arial"/>
            <w:sz w:val="24"/>
            <w:szCs w:val="24"/>
          </w:rPr>
          <w:t>аспоряжением</w:t>
        </w:r>
      </w:hyperlink>
      <w:r w:rsidRPr="00A03C55">
        <w:rPr>
          <w:rFonts w:ascii="Arial" w:hAnsi="Arial" w:cs="Arial"/>
          <w:sz w:val="24"/>
          <w:szCs w:val="24"/>
        </w:rPr>
        <w:t xml:space="preserve"> Правительства Российской Федерации от 18.10.2018 </w:t>
      </w:r>
      <w:r w:rsidR="009E10C2" w:rsidRPr="00A03C55">
        <w:rPr>
          <w:rFonts w:ascii="Arial" w:hAnsi="Arial" w:cs="Arial"/>
          <w:sz w:val="24"/>
          <w:szCs w:val="24"/>
        </w:rPr>
        <w:t>№</w:t>
      </w:r>
      <w:r w:rsidRPr="00A03C55">
        <w:rPr>
          <w:rFonts w:ascii="Arial" w:hAnsi="Arial" w:cs="Arial"/>
          <w:sz w:val="24"/>
          <w:szCs w:val="24"/>
        </w:rPr>
        <w:t xml:space="preserve"> 2258-р </w:t>
      </w:r>
      <w:r w:rsidR="005A7F75" w:rsidRPr="00A03C55">
        <w:rPr>
          <w:rFonts w:ascii="Arial" w:hAnsi="Arial" w:cs="Arial"/>
          <w:sz w:val="24"/>
          <w:szCs w:val="24"/>
        </w:rPr>
        <w:t xml:space="preserve">      </w:t>
      </w:r>
      <w:r w:rsidR="00C37AC8" w:rsidRPr="00A03C55">
        <w:rPr>
          <w:rFonts w:ascii="Arial" w:hAnsi="Arial" w:cs="Arial"/>
          <w:sz w:val="24"/>
          <w:szCs w:val="24"/>
        </w:rPr>
        <w:t>«</w:t>
      </w:r>
      <w:r w:rsidRPr="00A03C55">
        <w:rPr>
          <w:rFonts w:ascii="Arial" w:hAnsi="Arial" w:cs="Arial"/>
          <w:sz w:val="24"/>
          <w:szCs w:val="24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 w:rsidRPr="00A03C55">
        <w:rPr>
          <w:rFonts w:ascii="Arial" w:hAnsi="Arial" w:cs="Arial"/>
          <w:sz w:val="24"/>
          <w:szCs w:val="24"/>
        </w:rPr>
        <w:t>тимонопольного законодательства»</w:t>
      </w:r>
      <w:r w:rsidRPr="00A03C55">
        <w:rPr>
          <w:rFonts w:ascii="Arial" w:hAnsi="Arial" w:cs="Arial"/>
          <w:sz w:val="24"/>
          <w:szCs w:val="24"/>
        </w:rPr>
        <w:t>,</w:t>
      </w:r>
      <w:r w:rsidR="00123276" w:rsidRPr="00A03C55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A03C55">
          <w:rPr>
            <w:rFonts w:ascii="Arial" w:hAnsi="Arial" w:cs="Arial"/>
            <w:sz w:val="24"/>
            <w:szCs w:val="24"/>
          </w:rPr>
          <w:t>Уставом</w:t>
        </w:r>
      </w:hyperlink>
      <w:r w:rsidRPr="00A03C55">
        <w:rPr>
          <w:rFonts w:ascii="Arial" w:hAnsi="Arial" w:cs="Arial"/>
          <w:sz w:val="24"/>
          <w:szCs w:val="24"/>
        </w:rPr>
        <w:t xml:space="preserve"> городск</w:t>
      </w:r>
      <w:r w:rsidR="00660015" w:rsidRPr="00A03C55">
        <w:rPr>
          <w:rFonts w:ascii="Arial" w:hAnsi="Arial" w:cs="Arial"/>
          <w:sz w:val="24"/>
          <w:szCs w:val="24"/>
        </w:rPr>
        <w:t>ого</w:t>
      </w:r>
      <w:proofErr w:type="gramEnd"/>
      <w:r w:rsidRPr="00A03C55">
        <w:rPr>
          <w:rFonts w:ascii="Arial" w:hAnsi="Arial" w:cs="Arial"/>
          <w:sz w:val="24"/>
          <w:szCs w:val="24"/>
        </w:rPr>
        <w:t xml:space="preserve"> округ</w:t>
      </w:r>
      <w:r w:rsidR="00660015" w:rsidRPr="00A03C55">
        <w:rPr>
          <w:rFonts w:ascii="Arial" w:hAnsi="Arial" w:cs="Arial"/>
          <w:sz w:val="24"/>
          <w:szCs w:val="24"/>
        </w:rPr>
        <w:t>а</w:t>
      </w:r>
      <w:r w:rsidRPr="00A03C55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6B6231" w:rsidRPr="00A03C55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26.02.2019</w:t>
      </w:r>
      <w:r w:rsidR="00660015" w:rsidRPr="00A03C55">
        <w:rPr>
          <w:rFonts w:ascii="Arial" w:hAnsi="Arial" w:cs="Arial"/>
          <w:sz w:val="24"/>
          <w:szCs w:val="24"/>
        </w:rPr>
        <w:t xml:space="preserve"> </w:t>
      </w:r>
      <w:r w:rsidR="00C37AC8" w:rsidRPr="00A03C55">
        <w:rPr>
          <w:rFonts w:ascii="Arial" w:hAnsi="Arial" w:cs="Arial"/>
          <w:sz w:val="24"/>
          <w:szCs w:val="24"/>
        </w:rPr>
        <w:t xml:space="preserve">№ </w:t>
      </w:r>
      <w:r w:rsidR="006B6231" w:rsidRPr="00A03C55">
        <w:rPr>
          <w:rFonts w:ascii="Arial" w:hAnsi="Arial" w:cs="Arial"/>
          <w:sz w:val="24"/>
          <w:szCs w:val="24"/>
        </w:rPr>
        <w:t>683-ПА «О создании и организации системы внутреннего обеспечения соответствия требованиям антимонопольного законодательства»,</w:t>
      </w:r>
      <w:r w:rsidR="005A7F75" w:rsidRPr="00A03C55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Pr="00A03C55">
        <w:rPr>
          <w:rFonts w:ascii="Arial" w:hAnsi="Arial" w:cs="Arial"/>
          <w:sz w:val="24"/>
          <w:szCs w:val="24"/>
        </w:rPr>
        <w:t>постановля</w:t>
      </w:r>
      <w:r w:rsidR="005A7F75" w:rsidRPr="00A03C55">
        <w:rPr>
          <w:rFonts w:ascii="Arial" w:hAnsi="Arial" w:cs="Arial"/>
          <w:sz w:val="24"/>
          <w:szCs w:val="24"/>
        </w:rPr>
        <w:t>ю:</w:t>
      </w:r>
    </w:p>
    <w:p w:rsidR="00C92E03" w:rsidRPr="00A03C55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652E6E" w:rsidRPr="00A03C55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1. </w:t>
      </w:r>
      <w:r w:rsidR="00652E6E" w:rsidRPr="00A03C55">
        <w:rPr>
          <w:rFonts w:ascii="Arial" w:hAnsi="Arial" w:cs="Arial"/>
          <w:sz w:val="24"/>
          <w:szCs w:val="24"/>
        </w:rPr>
        <w:t>Утвердить:</w:t>
      </w:r>
    </w:p>
    <w:p w:rsidR="00C92E03" w:rsidRPr="00A03C55" w:rsidRDefault="00652E6E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1.1. </w:t>
      </w:r>
      <w:r w:rsidR="0005432F" w:rsidRPr="00A03C55">
        <w:rPr>
          <w:rFonts w:ascii="Arial" w:hAnsi="Arial" w:cs="Arial"/>
          <w:sz w:val="24"/>
          <w:szCs w:val="24"/>
        </w:rPr>
        <w:t xml:space="preserve">Ключевые показатели эффективности функционирования антимонопольного </w:t>
      </w:r>
      <w:proofErr w:type="spellStart"/>
      <w:r w:rsidR="0005432F"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="0005432F" w:rsidRPr="00A03C55">
        <w:rPr>
          <w:rFonts w:ascii="Arial" w:hAnsi="Arial" w:cs="Arial"/>
          <w:sz w:val="24"/>
          <w:szCs w:val="24"/>
        </w:rPr>
        <w:t xml:space="preserve"> в администрации городского округа Люберцы </w:t>
      </w:r>
      <w:r w:rsidR="005A7F75" w:rsidRPr="00A03C55">
        <w:rPr>
          <w:rFonts w:ascii="Arial" w:hAnsi="Arial" w:cs="Arial"/>
          <w:sz w:val="24"/>
          <w:szCs w:val="24"/>
        </w:rPr>
        <w:t>(прилагается).</w:t>
      </w:r>
    </w:p>
    <w:p w:rsidR="00652E6E" w:rsidRPr="00A03C55" w:rsidRDefault="00652E6E" w:rsidP="00652E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1.2. </w:t>
      </w:r>
      <w:r w:rsidR="0005432F" w:rsidRPr="00A03C55">
        <w:rPr>
          <w:rFonts w:ascii="Arial" w:hAnsi="Arial" w:cs="Arial"/>
          <w:sz w:val="24"/>
          <w:szCs w:val="24"/>
        </w:rPr>
        <w:t xml:space="preserve">Методику расчета ключевых показателей эффективности функционирования антимонопольного </w:t>
      </w:r>
      <w:proofErr w:type="spellStart"/>
      <w:r w:rsidR="0005432F"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="0005432F" w:rsidRPr="00A03C55">
        <w:rPr>
          <w:rFonts w:ascii="Arial" w:hAnsi="Arial" w:cs="Arial"/>
          <w:sz w:val="24"/>
          <w:szCs w:val="24"/>
        </w:rPr>
        <w:t xml:space="preserve"> в 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 </w:t>
      </w:r>
      <w:r w:rsidR="005A7F75" w:rsidRPr="00A03C55">
        <w:rPr>
          <w:rFonts w:ascii="Arial" w:hAnsi="Arial" w:cs="Arial"/>
          <w:sz w:val="24"/>
          <w:szCs w:val="24"/>
        </w:rPr>
        <w:t>(прилагается)</w:t>
      </w:r>
      <w:r w:rsidRPr="00A03C55">
        <w:rPr>
          <w:rFonts w:ascii="Arial" w:hAnsi="Arial" w:cs="Arial"/>
          <w:sz w:val="24"/>
          <w:szCs w:val="24"/>
        </w:rPr>
        <w:t>.</w:t>
      </w:r>
    </w:p>
    <w:p w:rsidR="00652E6E" w:rsidRPr="00A03C55" w:rsidRDefault="00652E6E" w:rsidP="00652E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2. </w:t>
      </w:r>
      <w:r w:rsidR="003F02CF" w:rsidRPr="00A03C55">
        <w:rPr>
          <w:rFonts w:ascii="Arial" w:hAnsi="Arial" w:cs="Arial"/>
          <w:sz w:val="24"/>
          <w:szCs w:val="24"/>
        </w:rPr>
        <w:t xml:space="preserve">Руководителям </w:t>
      </w:r>
      <w:r w:rsidR="005A7F75" w:rsidRPr="00A03C55">
        <w:rPr>
          <w:rFonts w:ascii="Arial" w:hAnsi="Arial" w:cs="Arial"/>
          <w:sz w:val="24"/>
          <w:szCs w:val="24"/>
        </w:rPr>
        <w:t xml:space="preserve">отраслевых (функциональных) </w:t>
      </w:r>
      <w:r w:rsidR="003F02CF" w:rsidRPr="00A03C55">
        <w:rPr>
          <w:rFonts w:ascii="Arial" w:hAnsi="Arial" w:cs="Arial"/>
          <w:sz w:val="24"/>
          <w:szCs w:val="24"/>
        </w:rPr>
        <w:t>органов администрации городского округа Люберцы обеспечить ознакомление</w:t>
      </w:r>
      <w:r w:rsidR="009E10C2" w:rsidRPr="00A03C55">
        <w:rPr>
          <w:rFonts w:ascii="Arial" w:hAnsi="Arial" w:cs="Arial"/>
          <w:sz w:val="24"/>
          <w:szCs w:val="24"/>
        </w:rPr>
        <w:t xml:space="preserve"> своих сотрудников с настоящим П</w:t>
      </w:r>
      <w:r w:rsidR="003F02CF" w:rsidRPr="00A03C55">
        <w:rPr>
          <w:rFonts w:ascii="Arial" w:hAnsi="Arial" w:cs="Arial"/>
          <w:sz w:val="24"/>
          <w:szCs w:val="24"/>
        </w:rPr>
        <w:t>остановлением.</w:t>
      </w:r>
    </w:p>
    <w:p w:rsidR="00C92E03" w:rsidRPr="00A03C55" w:rsidRDefault="003F02CF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3</w:t>
      </w:r>
      <w:r w:rsidR="00C92E03" w:rsidRPr="00A03C5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A7F75" w:rsidRPr="00A03C55">
        <w:rPr>
          <w:rFonts w:ascii="Arial" w:hAnsi="Arial" w:cs="Arial"/>
          <w:sz w:val="24"/>
          <w:szCs w:val="24"/>
        </w:rPr>
        <w:t>Разместить</w:t>
      </w:r>
      <w:proofErr w:type="gramEnd"/>
      <w:r w:rsidR="005A7F75" w:rsidRPr="00A03C55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C92E03" w:rsidRPr="00A03C55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C92E03" w:rsidRPr="00A03C55" w:rsidRDefault="003F02CF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4</w:t>
      </w:r>
      <w:r w:rsidR="00C92E03" w:rsidRPr="00A03C5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92E03" w:rsidRPr="00A03C55">
        <w:rPr>
          <w:rFonts w:ascii="Arial" w:hAnsi="Arial" w:cs="Arial"/>
          <w:sz w:val="24"/>
          <w:szCs w:val="24"/>
        </w:rPr>
        <w:t>Контроль за</w:t>
      </w:r>
      <w:proofErr w:type="gramEnd"/>
      <w:r w:rsidR="00C92E03" w:rsidRPr="00A03C5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5A7F75" w:rsidRPr="00A03C55">
        <w:rPr>
          <w:rFonts w:ascii="Arial" w:hAnsi="Arial" w:cs="Arial"/>
          <w:sz w:val="24"/>
          <w:szCs w:val="24"/>
        </w:rPr>
        <w:t>оставляю  за собой</w:t>
      </w:r>
      <w:r w:rsidR="00C92E03" w:rsidRPr="00A03C55">
        <w:rPr>
          <w:rFonts w:ascii="Arial" w:hAnsi="Arial" w:cs="Arial"/>
          <w:sz w:val="24"/>
          <w:szCs w:val="24"/>
        </w:rPr>
        <w:t>.</w:t>
      </w:r>
    </w:p>
    <w:p w:rsidR="00C92E03" w:rsidRPr="00A03C55" w:rsidRDefault="00C92E03" w:rsidP="006B6231">
      <w:pPr>
        <w:rPr>
          <w:rFonts w:ascii="Arial" w:hAnsi="Arial" w:cs="Arial"/>
          <w:sz w:val="24"/>
          <w:szCs w:val="24"/>
        </w:rPr>
      </w:pPr>
    </w:p>
    <w:p w:rsidR="005A7F75" w:rsidRPr="00A03C55" w:rsidRDefault="005A7F75" w:rsidP="005A7F75">
      <w:pPr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E047C" w:rsidRPr="00A03C55" w:rsidRDefault="005A7F75" w:rsidP="005A7F75">
      <w:pPr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Главы администрации </w:t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</w:r>
      <w:r w:rsidRPr="00A03C55">
        <w:rPr>
          <w:rFonts w:ascii="Arial" w:hAnsi="Arial" w:cs="Arial"/>
          <w:sz w:val="24"/>
          <w:szCs w:val="24"/>
        </w:rPr>
        <w:tab/>
        <w:t>И.Г. Назарьева</w:t>
      </w:r>
    </w:p>
    <w:p w:rsidR="00A910B9" w:rsidRPr="00A03C55" w:rsidRDefault="00A910B9" w:rsidP="005A7F75">
      <w:pPr>
        <w:rPr>
          <w:rFonts w:ascii="Arial" w:hAnsi="Arial" w:cs="Arial"/>
          <w:sz w:val="24"/>
          <w:szCs w:val="24"/>
        </w:rPr>
      </w:pPr>
    </w:p>
    <w:p w:rsidR="0014375A" w:rsidRPr="00A03C55" w:rsidRDefault="00313083" w:rsidP="0014375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Утверждены</w:t>
      </w:r>
    </w:p>
    <w:p w:rsidR="0014375A" w:rsidRPr="00A03C55" w:rsidRDefault="00DE60F3" w:rsidP="001437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П</w:t>
      </w:r>
      <w:r w:rsidR="0014375A" w:rsidRPr="00A03C55">
        <w:rPr>
          <w:rFonts w:ascii="Arial" w:hAnsi="Arial" w:cs="Arial"/>
          <w:sz w:val="24"/>
          <w:szCs w:val="24"/>
        </w:rPr>
        <w:t>остановлени</w:t>
      </w:r>
      <w:r w:rsidR="00313083" w:rsidRPr="00A03C55">
        <w:rPr>
          <w:rFonts w:ascii="Arial" w:hAnsi="Arial" w:cs="Arial"/>
          <w:sz w:val="24"/>
          <w:szCs w:val="24"/>
        </w:rPr>
        <w:t>ем</w:t>
      </w:r>
      <w:r w:rsidR="0014375A" w:rsidRPr="00A03C55">
        <w:rPr>
          <w:rFonts w:ascii="Arial" w:hAnsi="Arial" w:cs="Arial"/>
          <w:sz w:val="24"/>
          <w:szCs w:val="24"/>
        </w:rPr>
        <w:t xml:space="preserve"> администрации </w:t>
      </w:r>
    </w:p>
    <w:p w:rsidR="0014375A" w:rsidRPr="00A03C55" w:rsidRDefault="0014375A" w:rsidP="001437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городского округа Люберцы</w:t>
      </w:r>
    </w:p>
    <w:p w:rsidR="0014375A" w:rsidRPr="00A03C55" w:rsidRDefault="0014375A" w:rsidP="001437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от</w:t>
      </w:r>
      <w:r w:rsidR="00A03C55">
        <w:rPr>
          <w:rFonts w:ascii="Arial" w:hAnsi="Arial" w:cs="Arial"/>
          <w:sz w:val="24"/>
          <w:szCs w:val="24"/>
        </w:rPr>
        <w:t xml:space="preserve">  10.02.2021 </w:t>
      </w:r>
      <w:r w:rsidRPr="00A03C55">
        <w:rPr>
          <w:rFonts w:ascii="Arial" w:hAnsi="Arial" w:cs="Arial"/>
          <w:sz w:val="24"/>
          <w:szCs w:val="24"/>
        </w:rPr>
        <w:t>№</w:t>
      </w:r>
      <w:r w:rsidR="00A03C55">
        <w:rPr>
          <w:rFonts w:ascii="Arial" w:hAnsi="Arial" w:cs="Arial"/>
          <w:sz w:val="24"/>
          <w:szCs w:val="24"/>
        </w:rPr>
        <w:t xml:space="preserve">  392-ПА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7220F" w:rsidRPr="00A03C55" w:rsidRDefault="0087220F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 xml:space="preserve">Ключевые показатели эффективности функционирования </w:t>
      </w:r>
    </w:p>
    <w:p w:rsidR="0014375A" w:rsidRPr="00A03C55" w:rsidRDefault="0014375A" w:rsidP="0014375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 xml:space="preserve">антимонопольного </w:t>
      </w:r>
      <w:proofErr w:type="spellStart"/>
      <w:r w:rsidRPr="00A03C55">
        <w:rPr>
          <w:rFonts w:ascii="Arial" w:hAnsi="Arial" w:cs="Arial"/>
          <w:b/>
          <w:sz w:val="24"/>
          <w:szCs w:val="24"/>
        </w:rPr>
        <w:t>комплаенса</w:t>
      </w:r>
      <w:proofErr w:type="spellEnd"/>
      <w:r w:rsidRPr="00A03C55">
        <w:rPr>
          <w:rFonts w:ascii="Arial" w:hAnsi="Arial" w:cs="Arial"/>
          <w:b/>
          <w:sz w:val="24"/>
          <w:szCs w:val="24"/>
        </w:rPr>
        <w:t xml:space="preserve"> в администрации </w:t>
      </w:r>
    </w:p>
    <w:p w:rsidR="0014375A" w:rsidRPr="00A03C55" w:rsidRDefault="0014375A" w:rsidP="0014375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1. Коэффициент снижения количества нарушений антимонопольного законодательства со стороны администрации городского круга Люберцы (далее - администрация) по сравнению с предыдущим годом .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3.</w:t>
      </w:r>
      <w:r w:rsidR="00C315CF" w:rsidRPr="00A03C55">
        <w:rPr>
          <w:rFonts w:ascii="Arial" w:hAnsi="Arial" w:cs="Arial"/>
          <w:sz w:val="24"/>
          <w:szCs w:val="24"/>
        </w:rPr>
        <w:t xml:space="preserve"> </w:t>
      </w:r>
      <w:r w:rsidRPr="00A03C55">
        <w:rPr>
          <w:rFonts w:ascii="Arial" w:hAnsi="Arial" w:cs="Arial"/>
          <w:sz w:val="24"/>
          <w:szCs w:val="24"/>
        </w:rPr>
        <w:t>Доля нормативных правовых актов администрации, в которых выявлены риски нарушения антимонопольного законодательства.</w:t>
      </w:r>
    </w:p>
    <w:p w:rsidR="00A910B9" w:rsidRPr="00A03C55" w:rsidRDefault="00A910B9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Pr="00A03C55">
        <w:rPr>
          <w:rFonts w:ascii="Arial" w:hAnsi="Arial" w:cs="Arial"/>
          <w:sz w:val="24"/>
          <w:szCs w:val="24"/>
        </w:rPr>
        <w:t>.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3C55" w:rsidRPr="00A03C55" w:rsidRDefault="00A03C55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10B9" w:rsidRPr="00A03C55" w:rsidRDefault="00313083" w:rsidP="00A910B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1" w:name="P26"/>
      <w:bookmarkEnd w:id="1"/>
      <w:r w:rsidRPr="00A03C55">
        <w:rPr>
          <w:rFonts w:ascii="Arial" w:hAnsi="Arial" w:cs="Arial"/>
          <w:sz w:val="24"/>
          <w:szCs w:val="24"/>
        </w:rPr>
        <w:t>Утвержден</w:t>
      </w:r>
      <w:r w:rsidR="00DE60F3" w:rsidRPr="00A03C55">
        <w:rPr>
          <w:rFonts w:ascii="Arial" w:hAnsi="Arial" w:cs="Arial"/>
          <w:sz w:val="24"/>
          <w:szCs w:val="24"/>
        </w:rPr>
        <w:t>а</w:t>
      </w:r>
    </w:p>
    <w:p w:rsidR="00A910B9" w:rsidRPr="00A03C55" w:rsidRDefault="00DE60F3" w:rsidP="00A910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П</w:t>
      </w:r>
      <w:r w:rsidR="00A910B9" w:rsidRPr="00A03C55">
        <w:rPr>
          <w:rFonts w:ascii="Arial" w:hAnsi="Arial" w:cs="Arial"/>
          <w:sz w:val="24"/>
          <w:szCs w:val="24"/>
        </w:rPr>
        <w:t>остановлени</w:t>
      </w:r>
      <w:r w:rsidR="00313083" w:rsidRPr="00A03C55">
        <w:rPr>
          <w:rFonts w:ascii="Arial" w:hAnsi="Arial" w:cs="Arial"/>
          <w:sz w:val="24"/>
          <w:szCs w:val="24"/>
        </w:rPr>
        <w:t>ем</w:t>
      </w:r>
      <w:r w:rsidR="00A910B9" w:rsidRPr="00A03C55">
        <w:rPr>
          <w:rFonts w:ascii="Arial" w:hAnsi="Arial" w:cs="Arial"/>
          <w:sz w:val="24"/>
          <w:szCs w:val="24"/>
        </w:rPr>
        <w:t xml:space="preserve"> администрации </w:t>
      </w:r>
    </w:p>
    <w:p w:rsidR="00A910B9" w:rsidRPr="00A03C55" w:rsidRDefault="00A910B9" w:rsidP="00A910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городского округа Люберцы</w:t>
      </w:r>
    </w:p>
    <w:p w:rsidR="00A910B9" w:rsidRPr="00A03C55" w:rsidRDefault="00A910B9" w:rsidP="00A910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от</w:t>
      </w:r>
      <w:r w:rsidR="00A03C55">
        <w:rPr>
          <w:rFonts w:ascii="Arial" w:hAnsi="Arial" w:cs="Arial"/>
          <w:sz w:val="24"/>
          <w:szCs w:val="24"/>
        </w:rPr>
        <w:t xml:space="preserve">  10.02.2021 </w:t>
      </w:r>
      <w:r w:rsidRPr="00A03C55">
        <w:rPr>
          <w:rFonts w:ascii="Arial" w:hAnsi="Arial" w:cs="Arial"/>
          <w:sz w:val="24"/>
          <w:szCs w:val="24"/>
        </w:rPr>
        <w:t>№</w:t>
      </w:r>
      <w:r w:rsidR="00A03C55">
        <w:rPr>
          <w:rFonts w:ascii="Arial" w:hAnsi="Arial" w:cs="Arial"/>
          <w:sz w:val="24"/>
          <w:szCs w:val="24"/>
        </w:rPr>
        <w:t>392-ПА</w:t>
      </w:r>
    </w:p>
    <w:p w:rsidR="00A910B9" w:rsidRPr="00A03C55" w:rsidRDefault="00A910B9" w:rsidP="00A910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10B9" w:rsidRPr="00A03C55" w:rsidRDefault="00A910B9" w:rsidP="0014375A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7220F" w:rsidRPr="00A03C55" w:rsidRDefault="0087220F" w:rsidP="0014375A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30E61" w:rsidRPr="00A03C55" w:rsidRDefault="00630E61" w:rsidP="00630E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>Методика расчета ключевых показателей</w:t>
      </w:r>
    </w:p>
    <w:p w:rsidR="00630E61" w:rsidRPr="00A03C55" w:rsidRDefault="00630E61" w:rsidP="00630E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03C55">
        <w:rPr>
          <w:rFonts w:ascii="Arial" w:hAnsi="Arial" w:cs="Arial"/>
          <w:b/>
          <w:sz w:val="24"/>
          <w:szCs w:val="24"/>
        </w:rPr>
        <w:t>эффективности функционирования антимонопольного</w:t>
      </w:r>
    </w:p>
    <w:p w:rsidR="0014375A" w:rsidRPr="00A03C55" w:rsidRDefault="00630E61" w:rsidP="00630E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03C55">
        <w:rPr>
          <w:rFonts w:ascii="Arial" w:hAnsi="Arial" w:cs="Arial"/>
          <w:b/>
          <w:sz w:val="24"/>
          <w:szCs w:val="24"/>
        </w:rPr>
        <w:t>комплаенса</w:t>
      </w:r>
      <w:proofErr w:type="spellEnd"/>
      <w:r w:rsidRPr="00A03C55">
        <w:rPr>
          <w:rFonts w:ascii="Arial" w:hAnsi="Arial" w:cs="Arial"/>
          <w:b/>
          <w:sz w:val="24"/>
          <w:szCs w:val="24"/>
        </w:rPr>
        <w:t xml:space="preserve"> в администрации городского округа Люберцы</w:t>
      </w:r>
    </w:p>
    <w:p w:rsidR="00630E61" w:rsidRPr="00A03C55" w:rsidRDefault="00630E61" w:rsidP="00630E6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7220F" w:rsidRPr="00A03C55" w:rsidRDefault="0087220F" w:rsidP="00630E6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7220F" w:rsidRPr="00A03C55" w:rsidRDefault="0087220F" w:rsidP="00630E6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4375A" w:rsidRPr="00A03C55" w:rsidRDefault="00884F47" w:rsidP="0014375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1</w:t>
      </w:r>
      <w:r w:rsidR="0014375A" w:rsidRPr="00A03C55">
        <w:rPr>
          <w:rFonts w:ascii="Arial" w:hAnsi="Arial" w:cs="Arial"/>
          <w:sz w:val="24"/>
          <w:szCs w:val="24"/>
        </w:rPr>
        <w:t>. Общие положения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884F47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1.</w:t>
      </w:r>
      <w:r w:rsidR="0014375A" w:rsidRPr="00A03C55">
        <w:rPr>
          <w:rFonts w:ascii="Arial" w:hAnsi="Arial" w:cs="Arial"/>
          <w:sz w:val="24"/>
          <w:szCs w:val="24"/>
        </w:rPr>
        <w:t xml:space="preserve">1. Методика расчета ключевых показателей эффективности функционирования </w:t>
      </w:r>
      <w:r w:rsidR="00630E61" w:rsidRPr="00A03C55">
        <w:rPr>
          <w:rFonts w:ascii="Arial" w:hAnsi="Arial" w:cs="Arial"/>
          <w:sz w:val="24"/>
          <w:szCs w:val="24"/>
        </w:rPr>
        <w:t xml:space="preserve">антимонопольного </w:t>
      </w:r>
      <w:proofErr w:type="spellStart"/>
      <w:r w:rsidR="00630E61"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="00630E61" w:rsidRPr="00A03C55">
        <w:rPr>
          <w:rFonts w:ascii="Arial" w:hAnsi="Arial" w:cs="Arial"/>
          <w:sz w:val="24"/>
          <w:szCs w:val="24"/>
        </w:rPr>
        <w:t xml:space="preserve"> </w:t>
      </w:r>
      <w:r w:rsidR="0014375A" w:rsidRPr="00A03C55">
        <w:rPr>
          <w:rFonts w:ascii="Arial" w:hAnsi="Arial" w:cs="Arial"/>
          <w:sz w:val="24"/>
          <w:szCs w:val="24"/>
        </w:rPr>
        <w:t xml:space="preserve">в </w:t>
      </w:r>
      <w:r w:rsidR="00630E61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 (далее - Методика) разработана в соответствии с </w:t>
      </w:r>
      <w:hyperlink r:id="rId12" w:history="1">
        <w:r w:rsidR="0014375A" w:rsidRPr="00A03C55">
          <w:rPr>
            <w:rFonts w:ascii="Arial" w:hAnsi="Arial" w:cs="Arial"/>
            <w:sz w:val="24"/>
            <w:szCs w:val="24"/>
          </w:rPr>
          <w:t>распоряжением</w:t>
        </w:r>
      </w:hyperlink>
      <w:r w:rsidR="0014375A" w:rsidRPr="00A03C55">
        <w:rPr>
          <w:rFonts w:ascii="Arial" w:hAnsi="Arial" w:cs="Arial"/>
          <w:sz w:val="24"/>
          <w:szCs w:val="24"/>
        </w:rPr>
        <w:t xml:space="preserve"> Правительства Российской Федерации от 18.10.2018 </w:t>
      </w:r>
      <w:r w:rsidR="00630E61" w:rsidRPr="00A03C55">
        <w:rPr>
          <w:rFonts w:ascii="Arial" w:hAnsi="Arial" w:cs="Arial"/>
          <w:sz w:val="24"/>
          <w:szCs w:val="24"/>
        </w:rPr>
        <w:t>№</w:t>
      </w:r>
      <w:r w:rsidR="0014375A" w:rsidRPr="00A03C55">
        <w:rPr>
          <w:rFonts w:ascii="Arial" w:hAnsi="Arial" w:cs="Arial"/>
          <w:sz w:val="24"/>
          <w:szCs w:val="24"/>
        </w:rPr>
        <w:t xml:space="preserve"> 2258-р </w:t>
      </w:r>
      <w:r w:rsidR="00630E61" w:rsidRPr="00A03C55">
        <w:rPr>
          <w:rFonts w:ascii="Arial" w:hAnsi="Arial" w:cs="Arial"/>
          <w:sz w:val="24"/>
          <w:szCs w:val="24"/>
        </w:rPr>
        <w:t>«</w:t>
      </w:r>
      <w:r w:rsidR="0014375A" w:rsidRPr="00A03C55">
        <w:rPr>
          <w:rFonts w:ascii="Arial" w:hAnsi="Arial" w:cs="Arial"/>
          <w:sz w:val="24"/>
          <w:szCs w:val="24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630E61" w:rsidRPr="00A03C55">
        <w:rPr>
          <w:rFonts w:ascii="Arial" w:hAnsi="Arial" w:cs="Arial"/>
          <w:sz w:val="24"/>
          <w:szCs w:val="24"/>
        </w:rPr>
        <w:t>тимонопольного законодательства»</w:t>
      </w:r>
      <w:r w:rsidR="0014375A" w:rsidRPr="00A03C55">
        <w:rPr>
          <w:rFonts w:ascii="Arial" w:hAnsi="Arial" w:cs="Arial"/>
          <w:sz w:val="24"/>
          <w:szCs w:val="24"/>
        </w:rPr>
        <w:t xml:space="preserve"> (далее - Методические рекомендации).</w:t>
      </w:r>
    </w:p>
    <w:p w:rsidR="0014375A" w:rsidRPr="00A03C55" w:rsidRDefault="00884F47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1.</w:t>
      </w:r>
      <w:r w:rsidR="0014375A" w:rsidRPr="00A03C55">
        <w:rPr>
          <w:rFonts w:ascii="Arial" w:hAnsi="Arial" w:cs="Arial"/>
          <w:sz w:val="24"/>
          <w:szCs w:val="24"/>
        </w:rPr>
        <w:t xml:space="preserve">2. В целях оценки эффективности функционирования в </w:t>
      </w:r>
      <w:r w:rsidR="00630E61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(далее – администрация) </w:t>
      </w:r>
      <w:r w:rsidR="0014375A" w:rsidRPr="00A03C55">
        <w:rPr>
          <w:rFonts w:ascii="Arial" w:hAnsi="Arial" w:cs="Arial"/>
          <w:sz w:val="24"/>
          <w:szCs w:val="24"/>
        </w:rPr>
        <w:t xml:space="preserve">антимонопольного </w:t>
      </w:r>
      <w:proofErr w:type="spellStart"/>
      <w:r w:rsidR="0014375A"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="0014375A" w:rsidRPr="00A03C55">
        <w:rPr>
          <w:rFonts w:ascii="Arial" w:hAnsi="Arial" w:cs="Arial"/>
          <w:sz w:val="24"/>
          <w:szCs w:val="24"/>
        </w:rPr>
        <w:t xml:space="preserve"> в соответствии с Методикой рассчитываются ключевые показатели эффективности антимонопольного </w:t>
      </w:r>
      <w:proofErr w:type="spellStart"/>
      <w:r w:rsidR="0014375A"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="0014375A" w:rsidRPr="00A03C55">
        <w:rPr>
          <w:rFonts w:ascii="Arial" w:hAnsi="Arial" w:cs="Arial"/>
          <w:sz w:val="24"/>
          <w:szCs w:val="24"/>
        </w:rPr>
        <w:t xml:space="preserve"> (далее - КПЭ) как для уполномоченного </w:t>
      </w:r>
      <w:r w:rsidR="00630E61" w:rsidRPr="00A03C55">
        <w:rPr>
          <w:rFonts w:ascii="Arial" w:hAnsi="Arial" w:cs="Arial"/>
          <w:sz w:val="24"/>
          <w:szCs w:val="24"/>
        </w:rPr>
        <w:t>органа администрации</w:t>
      </w:r>
      <w:r w:rsidR="0014375A" w:rsidRPr="00A03C55">
        <w:rPr>
          <w:rFonts w:ascii="Arial" w:hAnsi="Arial" w:cs="Arial"/>
          <w:sz w:val="24"/>
          <w:szCs w:val="24"/>
        </w:rPr>
        <w:t xml:space="preserve">, так и для </w:t>
      </w:r>
      <w:r w:rsidRPr="00A03C55">
        <w:rPr>
          <w:rFonts w:ascii="Arial" w:hAnsi="Arial" w:cs="Arial"/>
          <w:sz w:val="24"/>
          <w:szCs w:val="24"/>
        </w:rPr>
        <w:t xml:space="preserve">администрации </w:t>
      </w:r>
      <w:r w:rsidR="0014375A" w:rsidRPr="00A03C55">
        <w:rPr>
          <w:rFonts w:ascii="Arial" w:hAnsi="Arial" w:cs="Arial"/>
          <w:sz w:val="24"/>
          <w:szCs w:val="24"/>
        </w:rPr>
        <w:t>в целом.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7220F" w:rsidRPr="00A03C55" w:rsidRDefault="0087220F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719E" w:rsidRPr="00A03C55" w:rsidRDefault="00884F47" w:rsidP="00884F4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2</w:t>
      </w:r>
      <w:r w:rsidR="0014375A" w:rsidRPr="00A03C55">
        <w:rPr>
          <w:rFonts w:ascii="Arial" w:hAnsi="Arial" w:cs="Arial"/>
          <w:sz w:val="24"/>
          <w:szCs w:val="24"/>
        </w:rPr>
        <w:t xml:space="preserve">. Методика расчета КПЭ для </w:t>
      </w:r>
      <w:r w:rsidRPr="00A03C55">
        <w:rPr>
          <w:rFonts w:ascii="Arial" w:hAnsi="Arial" w:cs="Arial"/>
          <w:sz w:val="24"/>
          <w:szCs w:val="24"/>
        </w:rPr>
        <w:t xml:space="preserve">администрации </w:t>
      </w:r>
    </w:p>
    <w:p w:rsidR="0014375A" w:rsidRPr="00A03C55" w:rsidRDefault="00884F47" w:rsidP="00884F4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14375A" w:rsidRPr="00A03C55">
        <w:rPr>
          <w:rFonts w:ascii="Arial" w:hAnsi="Arial" w:cs="Arial"/>
          <w:sz w:val="24"/>
          <w:szCs w:val="24"/>
        </w:rPr>
        <w:t>в целом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884F47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2.1</w:t>
      </w:r>
      <w:r w:rsidR="0014375A" w:rsidRPr="00A03C55">
        <w:rPr>
          <w:rFonts w:ascii="Arial" w:hAnsi="Arial" w:cs="Arial"/>
          <w:sz w:val="24"/>
          <w:szCs w:val="24"/>
        </w:rPr>
        <w:t xml:space="preserve">. Коэффициент снижения количества нарушений антимонопольного законодательства со стороны </w:t>
      </w:r>
      <w:r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14375A" w:rsidRPr="00A03C55">
        <w:rPr>
          <w:rFonts w:ascii="Arial" w:hAnsi="Arial" w:cs="Arial"/>
          <w:sz w:val="24"/>
          <w:szCs w:val="24"/>
        </w:rPr>
        <w:t xml:space="preserve">по сравнению </w:t>
      </w:r>
      <w:r w:rsidRPr="00A03C55">
        <w:rPr>
          <w:rFonts w:ascii="Arial" w:hAnsi="Arial" w:cs="Arial"/>
          <w:sz w:val="24"/>
          <w:szCs w:val="24"/>
        </w:rPr>
        <w:t>с предыдущим годом</w:t>
      </w:r>
      <w:r w:rsidR="0014375A" w:rsidRPr="00A03C55">
        <w:rPr>
          <w:rFonts w:ascii="Arial" w:hAnsi="Arial" w:cs="Arial"/>
          <w:sz w:val="24"/>
          <w:szCs w:val="24"/>
        </w:rPr>
        <w:t xml:space="preserve"> рассчитывается по формуле:</w:t>
      </w:r>
    </w:p>
    <w:p w:rsidR="0087220F" w:rsidRPr="00A03C55" w:rsidRDefault="0087220F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4A22A8" w:rsidP="004A22A8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КСН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КНг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КНоп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, </m:t>
        </m:r>
      </m:oMath>
      <w:r w:rsidR="0014375A" w:rsidRPr="00A03C55">
        <w:rPr>
          <w:rFonts w:ascii="Arial" w:hAnsi="Arial" w:cs="Arial"/>
          <w:sz w:val="24"/>
          <w:szCs w:val="24"/>
        </w:rPr>
        <w:t>где</w:t>
      </w:r>
    </w:p>
    <w:p w:rsidR="004A22A8" w:rsidRPr="00A03C55" w:rsidRDefault="004A22A8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КСН - коэффициент снижения количества нарушений антимонопольного законодательства со стороны </w:t>
      </w:r>
      <w:r w:rsidR="004A22A8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 xml:space="preserve">по сравнению с </w:t>
      </w:r>
      <w:r w:rsidR="004A22A8" w:rsidRPr="00A03C55">
        <w:rPr>
          <w:rFonts w:ascii="Arial" w:hAnsi="Arial" w:cs="Arial"/>
          <w:sz w:val="24"/>
          <w:szCs w:val="24"/>
        </w:rPr>
        <w:t>предыдущим</w:t>
      </w:r>
      <w:r w:rsidRPr="00A03C55">
        <w:rPr>
          <w:rFonts w:ascii="Arial" w:hAnsi="Arial" w:cs="Arial"/>
          <w:sz w:val="24"/>
          <w:szCs w:val="24"/>
        </w:rPr>
        <w:t xml:space="preserve"> годом;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КН</w:t>
      </w:r>
      <w:r w:rsidR="004A22A8" w:rsidRPr="00A03C55">
        <w:rPr>
          <w:rFonts w:ascii="Arial" w:hAnsi="Arial" w:cs="Arial"/>
          <w:sz w:val="24"/>
          <w:szCs w:val="24"/>
          <w:vertAlign w:val="subscript"/>
        </w:rPr>
        <w:t>г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нарушений антимонопольного законодательства со стороны </w:t>
      </w:r>
      <w:r w:rsidR="0087220F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 xml:space="preserve">в </w:t>
      </w:r>
      <w:r w:rsidR="0087220F" w:rsidRPr="00A03C55">
        <w:rPr>
          <w:rFonts w:ascii="Arial" w:hAnsi="Arial" w:cs="Arial"/>
          <w:sz w:val="24"/>
          <w:szCs w:val="24"/>
        </w:rPr>
        <w:t>году, предшествующем отчетному году;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КНоп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нарушений антимонопольного законодательства со стороны </w:t>
      </w:r>
      <w:r w:rsidR="0087220F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 xml:space="preserve">в отчетном </w:t>
      </w:r>
      <w:r w:rsidR="0089074E" w:rsidRPr="00A03C55">
        <w:rPr>
          <w:rFonts w:ascii="Arial" w:hAnsi="Arial" w:cs="Arial"/>
          <w:sz w:val="24"/>
          <w:szCs w:val="24"/>
        </w:rPr>
        <w:t>году</w:t>
      </w:r>
      <w:r w:rsidRPr="00A03C55">
        <w:rPr>
          <w:rFonts w:ascii="Arial" w:hAnsi="Arial" w:cs="Arial"/>
          <w:sz w:val="24"/>
          <w:szCs w:val="24"/>
        </w:rPr>
        <w:t>.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При расчете </w:t>
      </w:r>
      <w:proofErr w:type="gramStart"/>
      <w:r w:rsidRPr="00A03C55">
        <w:rPr>
          <w:rFonts w:ascii="Arial" w:hAnsi="Arial" w:cs="Arial"/>
          <w:sz w:val="24"/>
          <w:szCs w:val="24"/>
        </w:rPr>
        <w:t>коэффициента снижения количества нарушений антимонопольного законодательства</w:t>
      </w:r>
      <w:proofErr w:type="gramEnd"/>
      <w:r w:rsidRPr="00A03C55">
        <w:rPr>
          <w:rFonts w:ascii="Arial" w:hAnsi="Arial" w:cs="Arial"/>
          <w:sz w:val="24"/>
          <w:szCs w:val="24"/>
        </w:rPr>
        <w:t xml:space="preserve"> со стороны </w:t>
      </w:r>
      <w:r w:rsidR="0087220F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 xml:space="preserve">под нарушением антимонопольного законодательства со стороны </w:t>
      </w:r>
      <w:r w:rsidR="0087220F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>понимаются: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- возбужденные антимонопольным органом в отношении </w:t>
      </w:r>
      <w:r w:rsidR="0087220F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 антимонопольные дела;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- выданные антимонопольным органом </w:t>
      </w:r>
      <w:r w:rsidR="00980661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- направленные антимонопольным органом </w:t>
      </w:r>
      <w:r w:rsidR="00980661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A03C55">
        <w:rPr>
          <w:rFonts w:ascii="Arial" w:hAnsi="Arial" w:cs="Arial"/>
          <w:sz w:val="24"/>
          <w:szCs w:val="24"/>
        </w:rP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14375A" w:rsidRPr="00A03C55" w:rsidRDefault="00980661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2.2</w:t>
      </w:r>
      <w:r w:rsidR="0014375A" w:rsidRPr="00A03C55">
        <w:rPr>
          <w:rFonts w:ascii="Arial" w:hAnsi="Arial" w:cs="Arial"/>
          <w:sz w:val="24"/>
          <w:szCs w:val="24"/>
        </w:rPr>
        <w:t xml:space="preserve">. Доля проектов нормативных правовых актов </w:t>
      </w:r>
      <w:r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, в которых выявлены риски нарушения </w:t>
      </w:r>
      <w:proofErr w:type="gramStart"/>
      <w:r w:rsidR="0014375A" w:rsidRPr="00A03C55">
        <w:rPr>
          <w:rFonts w:ascii="Arial" w:hAnsi="Arial" w:cs="Arial"/>
          <w:sz w:val="24"/>
          <w:szCs w:val="24"/>
        </w:rPr>
        <w:t>антимонопольного</w:t>
      </w:r>
      <w:proofErr w:type="gramEnd"/>
      <w:r w:rsidR="0014375A" w:rsidRPr="00A03C55">
        <w:rPr>
          <w:rFonts w:ascii="Arial" w:hAnsi="Arial" w:cs="Arial"/>
          <w:sz w:val="24"/>
          <w:szCs w:val="24"/>
        </w:rPr>
        <w:t xml:space="preserve"> законодательства, рассчитывается по формуле: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noProof/>
          <w:position w:val="-22"/>
          <w:sz w:val="24"/>
          <w:szCs w:val="24"/>
        </w:rPr>
        <w:drawing>
          <wp:inline distT="0" distB="0" distL="0" distR="0" wp14:anchorId="1A48B448" wp14:editId="7238F94E">
            <wp:extent cx="1171575" cy="428625"/>
            <wp:effectExtent l="0" t="0" r="0" b="0"/>
            <wp:docPr id="3" name="Рисунок 3" descr="base_1_3176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17658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C55">
        <w:rPr>
          <w:rFonts w:ascii="Arial" w:hAnsi="Arial" w:cs="Arial"/>
          <w:sz w:val="24"/>
          <w:szCs w:val="24"/>
        </w:rPr>
        <w:t>, где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Дпнпа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доля проектов нормативных правовых актов </w:t>
      </w:r>
      <w:r w:rsidR="00980661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>, в которых выявлены риски нарушения антимонопольного законодательства;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Кпнпа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проектов нормативных правовых актов </w:t>
      </w:r>
      <w:r w:rsidR="00980661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, в которых </w:t>
      </w:r>
      <w:r w:rsidR="0089074E" w:rsidRPr="00A03C55">
        <w:rPr>
          <w:rFonts w:ascii="Arial" w:hAnsi="Arial" w:cs="Arial"/>
          <w:sz w:val="24"/>
          <w:szCs w:val="24"/>
        </w:rPr>
        <w:t xml:space="preserve">администрацией городского округа Люберцы </w:t>
      </w:r>
      <w:r w:rsidRPr="00A03C55">
        <w:rPr>
          <w:rFonts w:ascii="Arial" w:hAnsi="Arial" w:cs="Arial"/>
          <w:sz w:val="24"/>
          <w:szCs w:val="24"/>
        </w:rPr>
        <w:lastRenderedPageBreak/>
        <w:t>выявлены риски нарушения ант</w:t>
      </w:r>
      <w:r w:rsidR="0089074E" w:rsidRPr="00A03C55">
        <w:rPr>
          <w:rFonts w:ascii="Arial" w:hAnsi="Arial" w:cs="Arial"/>
          <w:sz w:val="24"/>
          <w:szCs w:val="24"/>
        </w:rPr>
        <w:t xml:space="preserve">имонопольного законодательства </w:t>
      </w:r>
      <w:r w:rsidRPr="00A03C55">
        <w:rPr>
          <w:rFonts w:ascii="Arial" w:hAnsi="Arial" w:cs="Arial"/>
          <w:sz w:val="24"/>
          <w:szCs w:val="24"/>
        </w:rPr>
        <w:t xml:space="preserve">в отчетном </w:t>
      </w:r>
      <w:r w:rsidR="0089074E" w:rsidRPr="00A03C55">
        <w:rPr>
          <w:rFonts w:ascii="Arial" w:hAnsi="Arial" w:cs="Arial"/>
          <w:sz w:val="24"/>
          <w:szCs w:val="24"/>
        </w:rPr>
        <w:t>году</w:t>
      </w:r>
      <w:r w:rsidRPr="00A03C55">
        <w:rPr>
          <w:rFonts w:ascii="Arial" w:hAnsi="Arial" w:cs="Arial"/>
          <w:sz w:val="24"/>
          <w:szCs w:val="24"/>
        </w:rPr>
        <w:t>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КНоп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нормативных правовых актов </w:t>
      </w:r>
      <w:r w:rsidR="0089074E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>, в которых антимонопольным органом выявлены нарушения антимонопольного закон</w:t>
      </w:r>
      <w:r w:rsidR="0089074E" w:rsidRPr="00A03C55">
        <w:rPr>
          <w:rFonts w:ascii="Arial" w:hAnsi="Arial" w:cs="Arial"/>
          <w:sz w:val="24"/>
          <w:szCs w:val="24"/>
        </w:rPr>
        <w:t>одательства в отчетном году</w:t>
      </w:r>
      <w:r w:rsidRPr="00A03C55">
        <w:rPr>
          <w:rFonts w:ascii="Arial" w:hAnsi="Arial" w:cs="Arial"/>
          <w:sz w:val="24"/>
          <w:szCs w:val="24"/>
        </w:rPr>
        <w:t>.</w:t>
      </w:r>
    </w:p>
    <w:p w:rsidR="0014375A" w:rsidRPr="00A03C55" w:rsidRDefault="0089074E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2.3</w:t>
      </w:r>
      <w:r w:rsidR="0014375A" w:rsidRPr="00A03C55">
        <w:rPr>
          <w:rFonts w:ascii="Arial" w:hAnsi="Arial" w:cs="Arial"/>
          <w:sz w:val="24"/>
          <w:szCs w:val="24"/>
        </w:rPr>
        <w:t xml:space="preserve">. Доля нормативных правовых актов </w:t>
      </w:r>
      <w:r w:rsidR="00B00C58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, в которых выявлены риски нарушения </w:t>
      </w:r>
      <w:proofErr w:type="gramStart"/>
      <w:r w:rsidR="0014375A" w:rsidRPr="00A03C55">
        <w:rPr>
          <w:rFonts w:ascii="Arial" w:hAnsi="Arial" w:cs="Arial"/>
          <w:sz w:val="24"/>
          <w:szCs w:val="24"/>
        </w:rPr>
        <w:t>антимонопольного</w:t>
      </w:r>
      <w:proofErr w:type="gramEnd"/>
      <w:r w:rsidR="0014375A" w:rsidRPr="00A03C55">
        <w:rPr>
          <w:rFonts w:ascii="Arial" w:hAnsi="Arial" w:cs="Arial"/>
          <w:sz w:val="24"/>
          <w:szCs w:val="24"/>
        </w:rPr>
        <w:t xml:space="preserve"> законодательства, рассчитывается по формуле: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noProof/>
          <w:position w:val="-22"/>
          <w:sz w:val="24"/>
          <w:szCs w:val="24"/>
        </w:rPr>
        <w:drawing>
          <wp:inline distT="0" distB="0" distL="0" distR="0" wp14:anchorId="0EC12CA9" wp14:editId="23DB0485">
            <wp:extent cx="1038225" cy="428625"/>
            <wp:effectExtent l="0" t="0" r="0" b="0"/>
            <wp:docPr id="2" name="Рисунок 2" descr="base_1_3176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17658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C55">
        <w:rPr>
          <w:rFonts w:ascii="Arial" w:hAnsi="Arial" w:cs="Arial"/>
          <w:sz w:val="24"/>
          <w:szCs w:val="24"/>
        </w:rPr>
        <w:t>, где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Днпа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доля нормативных правовых актов </w:t>
      </w:r>
      <w:r w:rsidR="00480C4B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>, в которых выявлены риски нарушения антимонопольного законодательства;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Кпнпа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нормативных правовых актов </w:t>
      </w:r>
      <w:r w:rsidR="00480C4B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, в которых </w:t>
      </w:r>
      <w:r w:rsidR="00480C4B" w:rsidRPr="00A03C55">
        <w:rPr>
          <w:rFonts w:ascii="Arial" w:hAnsi="Arial" w:cs="Arial"/>
          <w:sz w:val="24"/>
          <w:szCs w:val="24"/>
        </w:rPr>
        <w:t xml:space="preserve">администрацией городского округа Люберцы </w:t>
      </w:r>
      <w:r w:rsidRPr="00A03C55">
        <w:rPr>
          <w:rFonts w:ascii="Arial" w:hAnsi="Arial" w:cs="Arial"/>
          <w:sz w:val="24"/>
          <w:szCs w:val="24"/>
        </w:rPr>
        <w:t>выявлены риски нарушения ант</w:t>
      </w:r>
      <w:r w:rsidR="00480C4B" w:rsidRPr="00A03C55">
        <w:rPr>
          <w:rFonts w:ascii="Arial" w:hAnsi="Arial" w:cs="Arial"/>
          <w:sz w:val="24"/>
          <w:szCs w:val="24"/>
        </w:rPr>
        <w:t xml:space="preserve">имонопольного законодательства </w:t>
      </w:r>
      <w:r w:rsidRPr="00A03C55">
        <w:rPr>
          <w:rFonts w:ascii="Arial" w:hAnsi="Arial" w:cs="Arial"/>
          <w:sz w:val="24"/>
          <w:szCs w:val="24"/>
        </w:rPr>
        <w:t xml:space="preserve">в отчетном </w:t>
      </w:r>
      <w:r w:rsidR="00480C4B" w:rsidRPr="00A03C55">
        <w:rPr>
          <w:rFonts w:ascii="Arial" w:hAnsi="Arial" w:cs="Arial"/>
          <w:sz w:val="24"/>
          <w:szCs w:val="24"/>
        </w:rPr>
        <w:t>году</w:t>
      </w:r>
      <w:r w:rsidRPr="00A03C55">
        <w:rPr>
          <w:rFonts w:ascii="Arial" w:hAnsi="Arial" w:cs="Arial"/>
          <w:sz w:val="24"/>
          <w:szCs w:val="24"/>
        </w:rPr>
        <w:t>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КНоп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нормативных правовых актов </w:t>
      </w:r>
      <w:r w:rsidR="00480C4B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>, в которых антимонопольным органом выявлены нарушения ант</w:t>
      </w:r>
      <w:r w:rsidR="00480C4B" w:rsidRPr="00A03C55">
        <w:rPr>
          <w:rFonts w:ascii="Arial" w:hAnsi="Arial" w:cs="Arial"/>
          <w:sz w:val="24"/>
          <w:szCs w:val="24"/>
        </w:rPr>
        <w:t xml:space="preserve">имонопольного законодательства в </w:t>
      </w:r>
      <w:r w:rsidRPr="00A03C55">
        <w:rPr>
          <w:rFonts w:ascii="Arial" w:hAnsi="Arial" w:cs="Arial"/>
          <w:sz w:val="24"/>
          <w:szCs w:val="24"/>
        </w:rPr>
        <w:t xml:space="preserve">отчетном </w:t>
      </w:r>
      <w:r w:rsidR="00480C4B" w:rsidRPr="00A03C55">
        <w:rPr>
          <w:rFonts w:ascii="Arial" w:hAnsi="Arial" w:cs="Arial"/>
          <w:sz w:val="24"/>
          <w:szCs w:val="24"/>
        </w:rPr>
        <w:t>году</w:t>
      </w:r>
      <w:r w:rsidRPr="00A03C55">
        <w:rPr>
          <w:rFonts w:ascii="Arial" w:hAnsi="Arial" w:cs="Arial"/>
          <w:sz w:val="24"/>
          <w:szCs w:val="24"/>
        </w:rPr>
        <w:t>.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480C4B" w:rsidP="0014375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3</w:t>
      </w:r>
      <w:r w:rsidR="0014375A" w:rsidRPr="00A03C55">
        <w:rPr>
          <w:rFonts w:ascii="Arial" w:hAnsi="Arial" w:cs="Arial"/>
          <w:sz w:val="24"/>
          <w:szCs w:val="24"/>
        </w:rPr>
        <w:t>. Методика расчета ключевых показателей</w:t>
      </w:r>
    </w:p>
    <w:p w:rsidR="0014375A" w:rsidRPr="00A03C55" w:rsidRDefault="0014375A" w:rsidP="0014375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эффективности функционирования антимонопольного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комплаенса</w:t>
      </w:r>
      <w:proofErr w:type="spellEnd"/>
    </w:p>
    <w:p w:rsidR="0014375A" w:rsidRPr="00A03C55" w:rsidRDefault="0014375A" w:rsidP="0014375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для уполномоченного </w:t>
      </w:r>
      <w:r w:rsidR="0094719E" w:rsidRPr="00A03C55">
        <w:rPr>
          <w:rFonts w:ascii="Arial" w:hAnsi="Arial" w:cs="Arial"/>
          <w:sz w:val="24"/>
          <w:szCs w:val="24"/>
        </w:rPr>
        <w:t>органа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0D2B86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3.1</w:t>
      </w:r>
      <w:r w:rsidR="0014375A" w:rsidRPr="00A03C55">
        <w:rPr>
          <w:rFonts w:ascii="Arial" w:hAnsi="Arial" w:cs="Arial"/>
          <w:sz w:val="24"/>
          <w:szCs w:val="24"/>
        </w:rPr>
        <w:t xml:space="preserve">. Доля сотрудников </w:t>
      </w:r>
      <w:r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14375A"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="0014375A" w:rsidRPr="00A03C55">
        <w:rPr>
          <w:rFonts w:ascii="Arial" w:hAnsi="Arial" w:cs="Arial"/>
          <w:sz w:val="24"/>
          <w:szCs w:val="24"/>
        </w:rPr>
        <w:t>, рассчитывается по формуле: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noProof/>
          <w:position w:val="-24"/>
          <w:sz w:val="24"/>
          <w:szCs w:val="24"/>
        </w:rPr>
        <w:drawing>
          <wp:inline distT="0" distB="0" distL="0" distR="0" wp14:anchorId="244933D7" wp14:editId="27568A8F">
            <wp:extent cx="1085850" cy="447675"/>
            <wp:effectExtent l="0" t="0" r="0" b="0"/>
            <wp:docPr id="1" name="Рисунок 1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C55">
        <w:rPr>
          <w:rFonts w:ascii="Arial" w:hAnsi="Arial" w:cs="Arial"/>
          <w:sz w:val="24"/>
          <w:szCs w:val="24"/>
        </w:rPr>
        <w:t>, где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14375A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ДСо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доля сотрудников </w:t>
      </w:r>
      <w:r w:rsidR="000D2B86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Pr="00A03C55">
        <w:rPr>
          <w:rFonts w:ascii="Arial" w:hAnsi="Arial" w:cs="Arial"/>
          <w:sz w:val="24"/>
          <w:szCs w:val="24"/>
        </w:rPr>
        <w:t>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КСо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количество сотрудников </w:t>
      </w:r>
      <w:r w:rsidR="000D2B86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Pr="00A03C55">
        <w:rPr>
          <w:rFonts w:ascii="Arial" w:hAnsi="Arial" w:cs="Arial"/>
          <w:sz w:val="24"/>
          <w:szCs w:val="24"/>
        </w:rPr>
        <w:t>;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03C55">
        <w:rPr>
          <w:rFonts w:ascii="Arial" w:hAnsi="Arial" w:cs="Arial"/>
          <w:sz w:val="24"/>
          <w:szCs w:val="24"/>
        </w:rPr>
        <w:t>КСобщ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- общее количество сотрудников </w:t>
      </w:r>
      <w:r w:rsidR="000D2B86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27A9" w:rsidRPr="00A03C55" w:rsidRDefault="00DF27A9" w:rsidP="00DF27A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4</w:t>
      </w:r>
      <w:r w:rsidR="0014375A" w:rsidRPr="00A03C55">
        <w:rPr>
          <w:rFonts w:ascii="Arial" w:hAnsi="Arial" w:cs="Arial"/>
          <w:sz w:val="24"/>
          <w:szCs w:val="24"/>
        </w:rPr>
        <w:t xml:space="preserve">. Оценка значений КПЭ для </w:t>
      </w:r>
      <w:r w:rsidRPr="00A03C55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</w:p>
    <w:p w:rsidR="0014375A" w:rsidRPr="00A03C55" w:rsidRDefault="00DF27A9" w:rsidP="00DF27A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 в целом </w:t>
      </w:r>
      <w:r w:rsidRPr="00A03C55">
        <w:rPr>
          <w:rFonts w:ascii="Arial" w:hAnsi="Arial" w:cs="Arial"/>
          <w:sz w:val="24"/>
          <w:szCs w:val="24"/>
        </w:rPr>
        <w:t xml:space="preserve">и </w:t>
      </w:r>
      <w:r w:rsidR="0014375A" w:rsidRPr="00A03C55">
        <w:rPr>
          <w:rFonts w:ascii="Arial" w:hAnsi="Arial" w:cs="Arial"/>
          <w:sz w:val="24"/>
          <w:szCs w:val="24"/>
        </w:rPr>
        <w:t>КПЭ для уполномоченного</w:t>
      </w:r>
    </w:p>
    <w:p w:rsidR="0014375A" w:rsidRPr="00A03C55" w:rsidRDefault="00DF27A9" w:rsidP="0014375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органа администрации городского округа Люберцы</w:t>
      </w:r>
    </w:p>
    <w:p w:rsidR="0014375A" w:rsidRPr="00A03C55" w:rsidRDefault="0014375A" w:rsidP="001437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375A" w:rsidRPr="00A03C55" w:rsidRDefault="00DF27A9" w:rsidP="001437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4.1</w:t>
      </w:r>
      <w:r w:rsidR="0014375A" w:rsidRPr="00A03C55">
        <w:rPr>
          <w:rFonts w:ascii="Arial" w:hAnsi="Arial" w:cs="Arial"/>
          <w:sz w:val="24"/>
          <w:szCs w:val="24"/>
        </w:rPr>
        <w:t xml:space="preserve">. Оценка значений КПЭ "коэффициент снижения количества нарушений </w:t>
      </w:r>
      <w:r w:rsidR="0014375A" w:rsidRPr="00A03C55">
        <w:rPr>
          <w:rFonts w:ascii="Arial" w:hAnsi="Arial" w:cs="Arial"/>
          <w:sz w:val="24"/>
          <w:szCs w:val="24"/>
        </w:rPr>
        <w:lastRenderedPageBreak/>
        <w:t xml:space="preserve">антимонопольного законодательства со стороны </w:t>
      </w:r>
      <w:r w:rsidR="0026337B" w:rsidRPr="00A03C55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14375A" w:rsidRPr="00A03C55">
        <w:rPr>
          <w:rFonts w:ascii="Arial" w:hAnsi="Arial" w:cs="Arial"/>
          <w:sz w:val="24"/>
          <w:szCs w:val="24"/>
        </w:rPr>
        <w:t xml:space="preserve">по сравнению с </w:t>
      </w:r>
      <w:r w:rsidR="0026337B" w:rsidRPr="00A03C55">
        <w:rPr>
          <w:rFonts w:ascii="Arial" w:hAnsi="Arial" w:cs="Arial"/>
          <w:sz w:val="24"/>
          <w:szCs w:val="24"/>
        </w:rPr>
        <w:t>предыдущим годом</w:t>
      </w:r>
      <w:r w:rsidR="0014375A" w:rsidRPr="00A03C55">
        <w:rPr>
          <w:rFonts w:ascii="Arial" w:hAnsi="Arial" w:cs="Arial"/>
          <w:sz w:val="24"/>
          <w:szCs w:val="24"/>
        </w:rPr>
        <w:t>".</w:t>
      </w:r>
    </w:p>
    <w:p w:rsidR="0014375A" w:rsidRPr="00A03C55" w:rsidRDefault="0026337B" w:rsidP="0026337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03C55">
        <w:rPr>
          <w:rFonts w:ascii="Arial" w:hAnsi="Arial" w:cs="Arial"/>
          <w:sz w:val="24"/>
          <w:szCs w:val="24"/>
        </w:rPr>
        <w:t xml:space="preserve">Ежегодная оценка значения КПЭ «коэффициент снижения количества нарушений антимонопольного законодательства со стороны администрации городского округа Люберцы по сравнению с предыдущим годом» призвана обеспечить понимание об эффективности функционирования антимонопольного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в администрации городского округа Люберцы и о соответствии мероприятий антимонопольного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администрации городского округа Люберцы направлениям совершенствования государственной политики по развитию конкуренции, установленных Национальным </w:t>
      </w:r>
      <w:hyperlink r:id="rId16" w:history="1">
        <w:r w:rsidRPr="00A03C55">
          <w:rPr>
            <w:rFonts w:ascii="Arial" w:hAnsi="Arial" w:cs="Arial"/>
            <w:sz w:val="24"/>
            <w:szCs w:val="24"/>
          </w:rPr>
          <w:t>планом</w:t>
        </w:r>
      </w:hyperlink>
      <w:r w:rsidRPr="00A03C55">
        <w:rPr>
          <w:rFonts w:ascii="Arial" w:hAnsi="Arial" w:cs="Arial"/>
          <w:sz w:val="24"/>
          <w:szCs w:val="24"/>
        </w:rPr>
        <w:t xml:space="preserve"> развития конкуренции в Российской Федерации на</w:t>
      </w:r>
      <w:proofErr w:type="gramEnd"/>
      <w:r w:rsidRPr="00A03C55">
        <w:rPr>
          <w:rFonts w:ascii="Arial" w:hAnsi="Arial" w:cs="Arial"/>
          <w:sz w:val="24"/>
          <w:szCs w:val="24"/>
        </w:rPr>
        <w:t xml:space="preserve"> 2018 - 2020 годы, утвержденным Указом Президента РФ от 21.12.2017 № 618 «Об основных направлениях государственной политики по развитию конкуренции»</w:t>
      </w:r>
      <w:r w:rsidR="00E26BFF" w:rsidRPr="00A03C55">
        <w:rPr>
          <w:rFonts w:ascii="Arial" w:hAnsi="Arial" w:cs="Arial"/>
          <w:sz w:val="24"/>
          <w:szCs w:val="24"/>
        </w:rPr>
        <w:t>.</w:t>
      </w:r>
    </w:p>
    <w:p w:rsidR="0014375A" w:rsidRPr="00A03C55" w:rsidRDefault="0026337B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4.2</w:t>
      </w:r>
      <w:r w:rsidR="0014375A" w:rsidRPr="00A03C55">
        <w:rPr>
          <w:rFonts w:ascii="Arial" w:hAnsi="Arial" w:cs="Arial"/>
          <w:sz w:val="24"/>
          <w:szCs w:val="24"/>
        </w:rPr>
        <w:t xml:space="preserve">. Оценка значений КПЭ "доля проектов нормативных правовых актов </w:t>
      </w:r>
      <w:r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, в которых выявлены риски нарушения антимонопольного законодательства" и "доля нормативных правовых актов </w:t>
      </w:r>
      <w:r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>, в которых выявлены риски нарушения антимонопольного законодательства".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Оценка вышеуказанных значений КПЭ направлена на понимание эффективности мероприятий антимонопольного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, предусмотренных </w:t>
      </w:r>
      <w:hyperlink r:id="rId17" w:history="1">
        <w:r w:rsidRPr="00A03C55">
          <w:rPr>
            <w:rFonts w:ascii="Arial" w:hAnsi="Arial" w:cs="Arial"/>
            <w:sz w:val="24"/>
            <w:szCs w:val="24"/>
          </w:rPr>
          <w:t>подпунктами "б"</w:t>
        </w:r>
      </w:hyperlink>
      <w:r w:rsidRPr="00A03C55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A03C55">
          <w:rPr>
            <w:rFonts w:ascii="Arial" w:hAnsi="Arial" w:cs="Arial"/>
            <w:sz w:val="24"/>
            <w:szCs w:val="24"/>
          </w:rPr>
          <w:t>"в" пункта 15</w:t>
        </w:r>
      </w:hyperlink>
      <w:r w:rsidRPr="00A03C55">
        <w:rPr>
          <w:rFonts w:ascii="Arial" w:hAnsi="Arial" w:cs="Arial"/>
          <w:sz w:val="24"/>
          <w:szCs w:val="24"/>
        </w:rPr>
        <w:t xml:space="preserve"> Методических рекомендаций.</w:t>
      </w:r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03C55">
        <w:rPr>
          <w:rFonts w:ascii="Arial" w:hAnsi="Arial" w:cs="Arial"/>
          <w:sz w:val="24"/>
          <w:szCs w:val="24"/>
        </w:rPr>
        <w:t xml:space="preserve">При эффективном проведении мероприятий по анализу нормативных правовых актов </w:t>
      </w:r>
      <w:r w:rsidR="0026337B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 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</w:t>
      </w:r>
      <w:r w:rsidR="0026337B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>, в отношении которых антимонопольным органом выявлены нарушения антимонопольного законодательства (то есть, низкое значение знаменателя).</w:t>
      </w:r>
      <w:proofErr w:type="gramEnd"/>
      <w:r w:rsidRPr="00A03C55">
        <w:rPr>
          <w:rFonts w:ascii="Arial" w:hAnsi="Arial" w:cs="Arial"/>
          <w:sz w:val="24"/>
          <w:szCs w:val="24"/>
        </w:rPr>
        <w:t xml:space="preserve"> Таким образом, значение КПЭ будет тем выше, чем эффективней данные мероприятия антимонопольного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комплаенса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будут осуществляться уполномоченным </w:t>
      </w:r>
      <w:r w:rsidR="0026337B" w:rsidRPr="00A03C55">
        <w:rPr>
          <w:rFonts w:ascii="Arial" w:hAnsi="Arial" w:cs="Arial"/>
          <w:sz w:val="24"/>
          <w:szCs w:val="24"/>
        </w:rPr>
        <w:t>органом 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03C55">
        <w:rPr>
          <w:rFonts w:ascii="Arial" w:hAnsi="Arial" w:cs="Arial"/>
          <w:sz w:val="24"/>
          <w:szCs w:val="24"/>
        </w:rPr>
        <w:t>И</w:t>
      </w:r>
      <w:proofErr w:type="gramEnd"/>
      <w:r w:rsidRPr="00A03C55">
        <w:rPr>
          <w:rFonts w:ascii="Arial" w:hAnsi="Arial" w:cs="Arial"/>
          <w:sz w:val="24"/>
          <w:szCs w:val="24"/>
        </w:rPr>
        <w:t xml:space="preserve"> 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:rsidR="0014375A" w:rsidRPr="00A03C55" w:rsidRDefault="00CB1300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>4.3</w:t>
      </w:r>
      <w:r w:rsidR="0014375A" w:rsidRPr="00A03C55">
        <w:rPr>
          <w:rFonts w:ascii="Arial" w:hAnsi="Arial" w:cs="Arial"/>
          <w:sz w:val="24"/>
          <w:szCs w:val="24"/>
        </w:rPr>
        <w:t xml:space="preserve">. Оценка значения КПЭ "сотрудников </w:t>
      </w:r>
      <w:r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14375A" w:rsidRPr="00A03C55">
        <w:rPr>
          <w:rFonts w:ascii="Arial" w:hAnsi="Arial" w:cs="Arial"/>
          <w:sz w:val="24"/>
          <w:szCs w:val="24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14375A"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="0014375A" w:rsidRPr="00A03C55">
        <w:rPr>
          <w:rFonts w:ascii="Arial" w:hAnsi="Arial" w:cs="Arial"/>
          <w:sz w:val="24"/>
          <w:szCs w:val="24"/>
        </w:rPr>
        <w:t>".</w:t>
      </w:r>
    </w:p>
    <w:p w:rsidR="0014375A" w:rsidRPr="00A03C55" w:rsidRDefault="0014375A" w:rsidP="00E26BF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t xml:space="preserve">Консультирование и обучение служащих </w:t>
      </w:r>
      <w:r w:rsidR="00CB1300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комплаенсом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, отнесено к компетенции уполномоченного </w:t>
      </w:r>
      <w:r w:rsidR="00CB1300" w:rsidRPr="00A03C55">
        <w:rPr>
          <w:rFonts w:ascii="Arial" w:hAnsi="Arial" w:cs="Arial"/>
          <w:sz w:val="24"/>
          <w:szCs w:val="24"/>
        </w:rPr>
        <w:t>органа 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 согласно </w:t>
      </w:r>
      <w:hyperlink r:id="rId19" w:history="1">
        <w:r w:rsidRPr="00A03C55">
          <w:rPr>
            <w:rFonts w:ascii="Arial" w:hAnsi="Arial" w:cs="Arial"/>
            <w:sz w:val="24"/>
            <w:szCs w:val="24"/>
          </w:rPr>
          <w:t>подпункту "г" пункта 11</w:t>
        </w:r>
      </w:hyperlink>
      <w:r w:rsidRPr="00A03C55">
        <w:rPr>
          <w:rFonts w:ascii="Arial" w:hAnsi="Arial" w:cs="Arial"/>
          <w:sz w:val="24"/>
          <w:szCs w:val="24"/>
        </w:rPr>
        <w:t xml:space="preserve"> Методических рекомендаций, и направлено на профилактику нарушений требований антимонопольного законодательства в деятельности </w:t>
      </w:r>
      <w:r w:rsidR="00E26BFF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03C55">
        <w:rPr>
          <w:rFonts w:ascii="Arial" w:hAnsi="Arial" w:cs="Arial"/>
          <w:sz w:val="24"/>
          <w:szCs w:val="24"/>
        </w:rPr>
        <w:t xml:space="preserve">В том числе от эффективности работы уполномоченного </w:t>
      </w:r>
      <w:r w:rsidR="00E26BFF" w:rsidRPr="00A03C55">
        <w:rPr>
          <w:rFonts w:ascii="Arial" w:hAnsi="Arial" w:cs="Arial"/>
          <w:sz w:val="24"/>
          <w:szCs w:val="24"/>
        </w:rPr>
        <w:t>органа 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 по данному направлению напрямую зависит возможность достижения целей Национального плана, предусмотренных </w:t>
      </w:r>
      <w:hyperlink r:id="rId20" w:history="1">
        <w:r w:rsidRPr="00A03C55">
          <w:rPr>
            <w:rFonts w:ascii="Arial" w:hAnsi="Arial" w:cs="Arial"/>
            <w:sz w:val="24"/>
            <w:szCs w:val="24"/>
          </w:rPr>
          <w:t>подпунктом "б" пункта 1</w:t>
        </w:r>
      </w:hyperlink>
      <w:r w:rsidR="00E26BFF" w:rsidRPr="00A03C55">
        <w:rPr>
          <w:rFonts w:ascii="Arial" w:hAnsi="Arial" w:cs="Arial"/>
          <w:sz w:val="24"/>
          <w:szCs w:val="24"/>
        </w:rPr>
        <w:t xml:space="preserve"> Национального плана развития конкуренции в Российской Федерации на 2018 - 2020 годы, утвержденным Указом Президента РФ от 21.12.2017 № 618 «Об основных направлениях государственной политики по развитию конкуренции».</w:t>
      </w:r>
      <w:proofErr w:type="gramEnd"/>
    </w:p>
    <w:p w:rsidR="0014375A" w:rsidRPr="00A03C55" w:rsidRDefault="0014375A" w:rsidP="0014375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03C55">
        <w:rPr>
          <w:rFonts w:ascii="Arial" w:hAnsi="Arial" w:cs="Arial"/>
          <w:sz w:val="24"/>
          <w:szCs w:val="24"/>
        </w:rPr>
        <w:lastRenderedPageBreak/>
        <w:t xml:space="preserve">Расчет данного показателя предусматривает определение сотрудников </w:t>
      </w:r>
      <w:r w:rsidR="00E26BFF" w:rsidRPr="00A03C55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A03C55">
        <w:rPr>
          <w:rFonts w:ascii="Arial" w:hAnsi="Arial" w:cs="Arial"/>
          <w:sz w:val="24"/>
          <w:szCs w:val="24"/>
        </w:rP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. Высокое значение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03C55">
        <w:rPr>
          <w:rFonts w:ascii="Arial" w:hAnsi="Arial" w:cs="Arial"/>
          <w:sz w:val="24"/>
          <w:szCs w:val="24"/>
        </w:rPr>
        <w:t>комплаенсу</w:t>
      </w:r>
      <w:proofErr w:type="spellEnd"/>
      <w:r w:rsidRPr="00A03C55">
        <w:rPr>
          <w:rFonts w:ascii="Arial" w:hAnsi="Arial" w:cs="Arial"/>
          <w:sz w:val="24"/>
          <w:szCs w:val="24"/>
        </w:rPr>
        <w:t xml:space="preserve"> (числитель), обеспечивает высокое значение КПЭ.</w:t>
      </w:r>
    </w:p>
    <w:p w:rsidR="0014375A" w:rsidRPr="00A03C55" w:rsidRDefault="0014375A" w:rsidP="005A7F75">
      <w:pPr>
        <w:rPr>
          <w:rFonts w:ascii="Arial" w:hAnsi="Arial" w:cs="Arial"/>
          <w:sz w:val="24"/>
          <w:szCs w:val="24"/>
        </w:rPr>
      </w:pPr>
    </w:p>
    <w:sectPr w:rsidR="0014375A" w:rsidRPr="00A03C55" w:rsidSect="00FE04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82" w:rsidRDefault="00057582" w:rsidP="006E361E">
      <w:r>
        <w:separator/>
      </w:r>
    </w:p>
  </w:endnote>
  <w:endnote w:type="continuationSeparator" w:id="0">
    <w:p w:rsidR="00057582" w:rsidRDefault="00057582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82" w:rsidRDefault="00057582" w:rsidP="006E361E">
      <w:r>
        <w:separator/>
      </w:r>
    </w:p>
  </w:footnote>
  <w:footnote w:type="continuationSeparator" w:id="0">
    <w:p w:rsidR="00057582" w:rsidRDefault="00057582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8B"/>
    <w:rsid w:val="00034B8A"/>
    <w:rsid w:val="0005432F"/>
    <w:rsid w:val="00054DAE"/>
    <w:rsid w:val="00057582"/>
    <w:rsid w:val="000656A0"/>
    <w:rsid w:val="000716F6"/>
    <w:rsid w:val="000827AB"/>
    <w:rsid w:val="00085796"/>
    <w:rsid w:val="00086CF9"/>
    <w:rsid w:val="000B0A09"/>
    <w:rsid w:val="000D2B86"/>
    <w:rsid w:val="000D5581"/>
    <w:rsid w:val="000E62B6"/>
    <w:rsid w:val="00122D71"/>
    <w:rsid w:val="00123276"/>
    <w:rsid w:val="00125837"/>
    <w:rsid w:val="00133452"/>
    <w:rsid w:val="00134F1C"/>
    <w:rsid w:val="0014375A"/>
    <w:rsid w:val="001765A4"/>
    <w:rsid w:val="001A33EC"/>
    <w:rsid w:val="002022A7"/>
    <w:rsid w:val="00261707"/>
    <w:rsid w:val="0026337B"/>
    <w:rsid w:val="00266559"/>
    <w:rsid w:val="0027315F"/>
    <w:rsid w:val="002C613A"/>
    <w:rsid w:val="002E689A"/>
    <w:rsid w:val="002F3C1B"/>
    <w:rsid w:val="00301DC8"/>
    <w:rsid w:val="00313083"/>
    <w:rsid w:val="003304ED"/>
    <w:rsid w:val="00360BC8"/>
    <w:rsid w:val="00384A52"/>
    <w:rsid w:val="003852D1"/>
    <w:rsid w:val="003A6E48"/>
    <w:rsid w:val="003D21E2"/>
    <w:rsid w:val="003D4EED"/>
    <w:rsid w:val="003E7F51"/>
    <w:rsid w:val="003F02CF"/>
    <w:rsid w:val="003F78D5"/>
    <w:rsid w:val="00401F94"/>
    <w:rsid w:val="00420365"/>
    <w:rsid w:val="004278A4"/>
    <w:rsid w:val="0044083A"/>
    <w:rsid w:val="00445FEE"/>
    <w:rsid w:val="004637E6"/>
    <w:rsid w:val="00480C4B"/>
    <w:rsid w:val="00495209"/>
    <w:rsid w:val="004A22A8"/>
    <w:rsid w:val="004C7DA6"/>
    <w:rsid w:val="004D07D9"/>
    <w:rsid w:val="004F196B"/>
    <w:rsid w:val="005066BD"/>
    <w:rsid w:val="00543F83"/>
    <w:rsid w:val="00577655"/>
    <w:rsid w:val="005A7F75"/>
    <w:rsid w:val="00630E61"/>
    <w:rsid w:val="00636CEF"/>
    <w:rsid w:val="00652E6E"/>
    <w:rsid w:val="00660015"/>
    <w:rsid w:val="006916A3"/>
    <w:rsid w:val="006B6231"/>
    <w:rsid w:val="006E361E"/>
    <w:rsid w:val="00731A65"/>
    <w:rsid w:val="0077466F"/>
    <w:rsid w:val="0078099E"/>
    <w:rsid w:val="007B6B07"/>
    <w:rsid w:val="007C46ED"/>
    <w:rsid w:val="007E7B1E"/>
    <w:rsid w:val="00811AA3"/>
    <w:rsid w:val="00826E6E"/>
    <w:rsid w:val="00851662"/>
    <w:rsid w:val="0087220F"/>
    <w:rsid w:val="008750A3"/>
    <w:rsid w:val="00884966"/>
    <w:rsid w:val="00884F47"/>
    <w:rsid w:val="0088785B"/>
    <w:rsid w:val="0089074E"/>
    <w:rsid w:val="008A6219"/>
    <w:rsid w:val="008B1BE8"/>
    <w:rsid w:val="008C2C68"/>
    <w:rsid w:val="008D3E32"/>
    <w:rsid w:val="008E71A9"/>
    <w:rsid w:val="009015C2"/>
    <w:rsid w:val="00902092"/>
    <w:rsid w:val="00912E46"/>
    <w:rsid w:val="0093470F"/>
    <w:rsid w:val="0094719E"/>
    <w:rsid w:val="00964AA9"/>
    <w:rsid w:val="009734C2"/>
    <w:rsid w:val="00980661"/>
    <w:rsid w:val="00981AB1"/>
    <w:rsid w:val="009D4B54"/>
    <w:rsid w:val="009D6480"/>
    <w:rsid w:val="009E10C2"/>
    <w:rsid w:val="009F1060"/>
    <w:rsid w:val="00A03C55"/>
    <w:rsid w:val="00A20EF6"/>
    <w:rsid w:val="00A41086"/>
    <w:rsid w:val="00A51C72"/>
    <w:rsid w:val="00A539B1"/>
    <w:rsid w:val="00A910B9"/>
    <w:rsid w:val="00AC5E35"/>
    <w:rsid w:val="00AD19B2"/>
    <w:rsid w:val="00B00C58"/>
    <w:rsid w:val="00B20DA6"/>
    <w:rsid w:val="00B26E54"/>
    <w:rsid w:val="00B2746A"/>
    <w:rsid w:val="00B274F4"/>
    <w:rsid w:val="00BA6579"/>
    <w:rsid w:val="00BA7151"/>
    <w:rsid w:val="00BD23EC"/>
    <w:rsid w:val="00BD3C4D"/>
    <w:rsid w:val="00BD78FD"/>
    <w:rsid w:val="00BF2B4D"/>
    <w:rsid w:val="00BF673A"/>
    <w:rsid w:val="00C04F33"/>
    <w:rsid w:val="00C10AF1"/>
    <w:rsid w:val="00C1628B"/>
    <w:rsid w:val="00C315CF"/>
    <w:rsid w:val="00C37AC8"/>
    <w:rsid w:val="00C92E03"/>
    <w:rsid w:val="00CB1300"/>
    <w:rsid w:val="00CB1EDE"/>
    <w:rsid w:val="00CB690A"/>
    <w:rsid w:val="00D61608"/>
    <w:rsid w:val="00D8700C"/>
    <w:rsid w:val="00DE60F3"/>
    <w:rsid w:val="00DF27A9"/>
    <w:rsid w:val="00E061BA"/>
    <w:rsid w:val="00E2261C"/>
    <w:rsid w:val="00E26BFF"/>
    <w:rsid w:val="00E7402B"/>
    <w:rsid w:val="00E753FE"/>
    <w:rsid w:val="00EB4979"/>
    <w:rsid w:val="00EB6ACC"/>
    <w:rsid w:val="00EC472B"/>
    <w:rsid w:val="00EE70C1"/>
    <w:rsid w:val="00F176F5"/>
    <w:rsid w:val="00F37CF5"/>
    <w:rsid w:val="00F67A32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75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b">
    <w:name w:val="Normal (Web)"/>
    <w:basedOn w:val="a"/>
    <w:uiPriority w:val="99"/>
    <w:unhideWhenUsed/>
    <w:rsid w:val="00A03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A03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75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b">
    <w:name w:val="Normal (Web)"/>
    <w:basedOn w:val="a"/>
    <w:uiPriority w:val="99"/>
    <w:unhideWhenUsed/>
    <w:rsid w:val="00A03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A03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E22682EDC1910F4840EA13A789758DE491C209391BF24946D64B4838C3178953DEEBF2B22100AFC361C91D969D29833E0F7E86A41102766EY9y2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2682EDC1910F4840EA13A789758DE491C209391BF24946D64B4838C3178953DEEBF2B22100AEC466C91D969D29833E0F7E86A41102766EY9y2G" TargetMode="External"/><Relationship Id="rId17" Type="http://schemas.openxmlformats.org/officeDocument/2006/relationships/hyperlink" Target="consultantplus://offline/ref=E22682EDC1910F4840EA13A789758DE491C209391BF24946D64B4838C3178953DEEBF2B22100AFC362C91D969D29833E0F7E86A41102766EY9y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2682EDC1910F4840EA13A789758DE490CA053D1AF04946D64B4838C3178953DEEBF2B22100AFC164C91D969D29833E0F7E86A41102766EY9y2G" TargetMode="External"/><Relationship Id="rId20" Type="http://schemas.openxmlformats.org/officeDocument/2006/relationships/hyperlink" Target="consultantplus://offline/ref=E22682EDC1910F4840EA13A789758DE490CA053D1AF04946D64B4838C3178953DEEBF2B22100AFC263C91D969D29833E0F7E86A41102766EY9y2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3C0AB9574201F8428E37700BC5570AD72EA02CF47D1703D089A661A4CF2DA8DE65658E85C2B33A7BAE953042Q5z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383C0AB9574201F8428E367E1EC5570AD626AF2DF47B1703D089A661A4CF2DA8DE65658E85C2B33A7BAE953042Q5zAM" TargetMode="External"/><Relationship Id="rId19" Type="http://schemas.openxmlformats.org/officeDocument/2006/relationships/hyperlink" Target="consultantplus://offline/ref=E22682EDC1910F4840EA13A789758DE491C209391BF24946D64B4838C3178953DEEBF2B22100AFC165C91D969D29833E0F7E86A41102766EY9y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72EA329F5791703D089A661A4CF2DA8DE65658E85C2B33A7BAE953042Q5zAM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2021-02-09T12:02:00Z</cp:lastPrinted>
  <dcterms:created xsi:type="dcterms:W3CDTF">2021-03-30T09:32:00Z</dcterms:created>
  <dcterms:modified xsi:type="dcterms:W3CDTF">2021-03-30T09:32:00Z</dcterms:modified>
</cp:coreProperties>
</file>