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8C54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14:paraId="76043FFE" w14:textId="77777777" w:rsidR="00A72662" w:rsidRDefault="00A72662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1C17DD13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5A88E7A9" w14:textId="77777777" w:rsidR="00A72662" w:rsidRDefault="00A72662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12C1C5B" w14:textId="77777777" w:rsidR="00A72662" w:rsidRDefault="00E83955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14:paraId="2448A05C" w14:textId="77777777" w:rsidR="00A72662" w:rsidRDefault="00A72662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113C9FF9" w14:textId="419869FC" w:rsidR="00A72662" w:rsidRDefault="00E83955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15.12.2025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№ 3307-ПА</w:t>
      </w:r>
    </w:p>
    <w:p w14:paraId="5DD1CFEC" w14:textId="77777777" w:rsidR="00A72662" w:rsidRDefault="00A72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2280FA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г. Люберцы</w:t>
      </w:r>
    </w:p>
    <w:p w14:paraId="27BAD468" w14:textId="77777777" w:rsidR="00A72662" w:rsidRDefault="00A72662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5736E9A" w14:textId="77777777" w:rsidR="00A72662" w:rsidRDefault="00A72662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866D518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Люберцы Московской области на 2026 год</w:t>
      </w:r>
    </w:p>
    <w:p w14:paraId="1C0A010B" w14:textId="77777777" w:rsidR="00A72662" w:rsidRDefault="00A72662">
      <w:pPr>
        <w:spacing w:after="0" w:line="240" w:lineRule="auto"/>
        <w:ind w:right="-144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46D6B845" w14:textId="77777777" w:rsidR="00A72662" w:rsidRDefault="00E8395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color w:val="auto"/>
          <w:sz w:val="24"/>
          <w:szCs w:val="24"/>
        </w:rPr>
        <w:t>В соответствии с Федеральным законом от 31.07.2020 № 248-ФЗ                                        «О государственном контроле (надзоре) и муниципальном контроле                                      в Российской Федерации», Федеральным законом от 06.10.2003 № 131-ФЗ      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Постановлением Правитель</w:t>
      </w:r>
      <w:r>
        <w:rPr>
          <w:rFonts w:ascii="Arial" w:hAnsi="Arial" w:cs="Arial"/>
          <w:color w:val="auto"/>
          <w:sz w:val="24"/>
          <w:szCs w:val="24"/>
        </w:rPr>
        <w:t>ства Российской Федерации          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Люберцы Московской области, Решением Совета депутатов Городского округа Люберцы Московской области  от 03.12.2025 № 123/16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Об утверждении Положения о муниципальном контроле в сфере благоустройства на территории Городского округа Люберцы</w:t>
      </w:r>
      <w:r>
        <w:rPr>
          <w:rFonts w:ascii="Arial" w:hAnsi="Arial" w:cs="Arial"/>
          <w:color w:val="auto"/>
          <w:sz w:val="24"/>
          <w:szCs w:val="24"/>
        </w:rPr>
        <w:t>», Решением Совета депу</w:t>
      </w:r>
      <w:r>
        <w:rPr>
          <w:rFonts w:ascii="Arial" w:hAnsi="Arial" w:cs="Arial"/>
          <w:color w:val="auto"/>
          <w:sz w:val="24"/>
          <w:szCs w:val="24"/>
        </w:rPr>
        <w:t>татов Городского округа Люберцы Московской области                            от 12.05.2025 № 25/4  «О правопреемстве», постановляю:</w:t>
      </w:r>
    </w:p>
    <w:p w14:paraId="36680E87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51021441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57CFD8D4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5BBE2756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28F804C8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4DDC2DC5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12D4B27D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04D029AC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40DB712B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3D91559D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0B8E3D75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6AD867AD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0B0E3E34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3C75092A" w14:textId="77777777" w:rsidR="00A72662" w:rsidRDefault="00E83955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Люберцы Московской области на 2026 год (прилагается). </w:t>
      </w:r>
    </w:p>
    <w:p w14:paraId="70ED538A" w14:textId="77777777" w:rsidR="00A72662" w:rsidRDefault="00E83955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2. Разместить настоящее Постановление на официальном сайте администрации в сети «Интернет».</w:t>
      </w:r>
    </w:p>
    <w:p w14:paraId="5BAAD9AE" w14:textId="77777777" w:rsidR="00A72662" w:rsidRDefault="00E83955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3. Контроль за исполнением настоящего Постановления возложить                                  на исполняющего обязанности заместителя Главы Голованова Г.А.</w:t>
      </w:r>
    </w:p>
    <w:p w14:paraId="446DCE7D" w14:textId="77777777" w:rsidR="00A72662" w:rsidRDefault="00A7266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39768ED" w14:textId="77777777" w:rsidR="00A72662" w:rsidRDefault="00A7266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2A12BEF" w14:textId="77777777" w:rsidR="00A72662" w:rsidRDefault="00A7266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C1F2F84" w14:textId="77777777" w:rsidR="00A72662" w:rsidRDefault="00E83955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Глава Городского </w:t>
      </w: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округа  </w:t>
      </w:r>
      <w:r>
        <w:rPr>
          <w:rFonts w:ascii="Arial" w:hAnsi="Arial" w:cs="Arial"/>
          <w:color w:val="auto"/>
          <w:sz w:val="24"/>
          <w:szCs w:val="24"/>
        </w:rPr>
        <w:tab/>
      </w:r>
      <w:proofErr w:type="gramEnd"/>
      <w:r>
        <w:rPr>
          <w:rFonts w:ascii="Arial" w:hAnsi="Arial" w:cs="Arial"/>
          <w:color w:val="auto"/>
          <w:sz w:val="24"/>
          <w:szCs w:val="24"/>
        </w:rPr>
        <w:tab/>
        <w:t xml:space="preserve">           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 xml:space="preserve">           В.М. Волков</w:t>
      </w:r>
    </w:p>
    <w:p w14:paraId="736E9D90" w14:textId="77777777" w:rsidR="00A72662" w:rsidRDefault="00A7266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59F8982" w14:textId="77777777" w:rsidR="00A72662" w:rsidRDefault="00A72662">
      <w:pPr>
        <w:spacing w:after="0" w:line="240" w:lineRule="auto"/>
        <w:ind w:firstLine="5812"/>
        <w:jc w:val="right"/>
        <w:rPr>
          <w:rFonts w:ascii="Arial" w:hAnsi="Arial" w:cs="Arial"/>
          <w:color w:val="auto"/>
          <w:sz w:val="24"/>
          <w:szCs w:val="24"/>
        </w:rPr>
      </w:pPr>
    </w:p>
    <w:p w14:paraId="5E07759C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81E8263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6A6EECF4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F4C7E60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4DD04F3A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BAFDF29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1FF3E4F8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46B2529" w14:textId="25113390" w:rsidR="00A72662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Утверждена  </w:t>
      </w:r>
    </w:p>
    <w:p w14:paraId="1D7D3CC9" w14:textId="77777777" w:rsidR="00A72662" w:rsidRDefault="00E83955">
      <w:pPr>
        <w:spacing w:after="0" w:line="240" w:lineRule="auto"/>
        <w:ind w:left="495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Постановлением администрации</w:t>
      </w:r>
    </w:p>
    <w:p w14:paraId="6891A8E8" w14:textId="77777777" w:rsidR="00A72662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Городского округа Люберцы</w:t>
      </w:r>
    </w:p>
    <w:p w14:paraId="3709CDD5" w14:textId="77777777" w:rsidR="00A72662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Московской области</w:t>
      </w:r>
    </w:p>
    <w:p w14:paraId="0E2A4065" w14:textId="77777777" w:rsidR="00A72662" w:rsidRDefault="00E83955">
      <w:pPr>
        <w:spacing w:after="0" w:line="240" w:lineRule="auto"/>
        <w:ind w:left="4248" w:firstLine="708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от_____________№________</w:t>
      </w:r>
    </w:p>
    <w:p w14:paraId="05F51845" w14:textId="77777777" w:rsidR="00A72662" w:rsidRDefault="00A72662">
      <w:pPr>
        <w:spacing w:after="0" w:line="240" w:lineRule="auto"/>
        <w:ind w:firstLine="5812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14:paraId="26B0BDAC" w14:textId="77777777" w:rsidR="00A72662" w:rsidRDefault="00A72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694892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Программа профилактики</w:t>
      </w:r>
    </w:p>
    <w:p w14:paraId="1312081F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 законом ценностям                     при осуществлении муниципального контроля в сфере благоустройства                   на территории Городского округа Люберцы Московской области                         на 2026 год</w:t>
      </w:r>
    </w:p>
    <w:p w14:paraId="35CE4323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F26032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</w:t>
      </w:r>
    </w:p>
    <w:p w14:paraId="216126C6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0"/>
      </w:tblGrid>
      <w:tr w:rsidR="00A72662" w14:paraId="2F170CFC" w14:textId="77777777">
        <w:tc>
          <w:tcPr>
            <w:tcW w:w="3369" w:type="dxa"/>
          </w:tcPr>
          <w:p w14:paraId="27192DC8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40" w:type="dxa"/>
          </w:tcPr>
          <w:p w14:paraId="0BFE1FCF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Программа профилактики рисков причинения вреда (ущерба) охраняемым законом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>ценностям  при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осуществлении муниципального контроля   в сфере благоустройства на территории Городского округа Люберцы Московской области на 2026 год (далее – программа профилактики).</w:t>
            </w:r>
          </w:p>
        </w:tc>
      </w:tr>
      <w:tr w:rsidR="00A72662" w14:paraId="3BB2ACD2" w14:textId="77777777">
        <w:tc>
          <w:tcPr>
            <w:tcW w:w="3369" w:type="dxa"/>
          </w:tcPr>
          <w:p w14:paraId="2259EFA6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5840" w:type="dxa"/>
          </w:tcPr>
          <w:p w14:paraId="6F4B6D72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 248-ФЗ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надзоре)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                 и муниципальном контроле в Российской Федерации» (далее – Федеральный закон                     № 248-ФЗ), постановление Правительства Российской Федерации от 25.06.2021 № 990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 «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A72662" w14:paraId="0C6EF9B7" w14:textId="77777777">
        <w:tc>
          <w:tcPr>
            <w:tcW w:w="3369" w:type="dxa"/>
          </w:tcPr>
          <w:p w14:paraId="509CB840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5840" w:type="dxa"/>
          </w:tcPr>
          <w:p w14:paraId="27553F6D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 муниципального контроля администрации Городского округа Люберцы (далее – контрольный (надзорный) орган).</w:t>
            </w:r>
          </w:p>
        </w:tc>
      </w:tr>
      <w:tr w:rsidR="00A72662" w14:paraId="16080792" w14:textId="77777777">
        <w:tc>
          <w:tcPr>
            <w:tcW w:w="3369" w:type="dxa"/>
          </w:tcPr>
          <w:p w14:paraId="186E8F0A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5840" w:type="dxa"/>
          </w:tcPr>
          <w:p w14:paraId="647236E4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0CB0B4E1" w14:textId="77777777" w:rsidR="00A72662" w:rsidRDefault="00E83955">
            <w:pPr>
              <w:tabs>
                <w:tab w:val="left" w:pos="598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 Устранение условий, причин и факторов, способных привести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7217CC5D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 Создание условий для доведения обязательных требований до контролируемых лиц, повышение информированности                          о способах их соблюдения.</w:t>
            </w:r>
          </w:p>
        </w:tc>
      </w:tr>
      <w:tr w:rsidR="00A72662" w14:paraId="4A214729" w14:textId="77777777">
        <w:tc>
          <w:tcPr>
            <w:tcW w:w="3369" w:type="dxa"/>
          </w:tcPr>
          <w:p w14:paraId="4D172236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5840" w:type="dxa"/>
          </w:tcPr>
          <w:p w14:paraId="0B8857F9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 Выявление причин, факторов и условий, способствующих нарушению обязательных требований в сфере благоустройства, определение способов устранения                          или снижения рисков их возникновения.</w:t>
            </w:r>
          </w:p>
          <w:p w14:paraId="08A3A395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 Устранение причин, факторов и условий, способствующих нарушению обязательных требований.</w:t>
            </w:r>
          </w:p>
          <w:p w14:paraId="08C7407B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3. Повышение уровня правовой грамотности подконтрольных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   в том числе путем обеспечения доступности информации об обязательных требованиях                      и необходимых мерах по их исполнению.</w:t>
            </w:r>
          </w:p>
          <w:p w14:paraId="5F016EBF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 Определение перечня видов и сбор статистических данных, необходимых                    для организации профилактической работы.</w:t>
            </w:r>
          </w:p>
          <w:p w14:paraId="55027AD7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 Повышение квалификации кадрового состава контрольного (надзорного) органа.</w:t>
            </w:r>
          </w:p>
          <w:p w14:paraId="5B2F61B2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 Создание системы консультирования подконтрольных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в том числе с использованием современных информационно-телекоммуникационных технологий.</w:t>
            </w:r>
          </w:p>
          <w:p w14:paraId="43C3D077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 Формирование одинакового понимания обязательных требований в сфере благоустройства у всех участников контрольно-надзорной деятельности на территории Городского округа Люберцы.</w:t>
            </w:r>
          </w:p>
        </w:tc>
      </w:tr>
      <w:tr w:rsidR="00A72662" w14:paraId="7A215CEC" w14:textId="77777777">
        <w:tc>
          <w:tcPr>
            <w:tcW w:w="3369" w:type="dxa"/>
          </w:tcPr>
          <w:p w14:paraId="79B3D93E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5840" w:type="dxa"/>
          </w:tcPr>
          <w:p w14:paraId="03A20834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год.</w:t>
            </w:r>
          </w:p>
        </w:tc>
      </w:tr>
      <w:tr w:rsidR="00A72662" w14:paraId="78B831F6" w14:textId="77777777">
        <w:tc>
          <w:tcPr>
            <w:tcW w:w="3369" w:type="dxa"/>
          </w:tcPr>
          <w:p w14:paraId="6CF6C61D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40" w:type="dxa"/>
          </w:tcPr>
          <w:p w14:paraId="521B3474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рамках текущего финансирования деятельности контрольного (надзорного) органа.</w:t>
            </w:r>
          </w:p>
        </w:tc>
      </w:tr>
    </w:tbl>
    <w:p w14:paraId="4D6192D1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4A3DDC" w14:textId="77777777" w:rsidR="00A72662" w:rsidRDefault="00A72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33E3E8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муниципального контроля в сфере благоустройства на территории Городского округа Люберцы Московской области в 2025 году, описание текущего развития профилактической деятельности контрольного (надзорного) органа                 в 2025 году, характеристика проблем, на решение которых направлена программа профилактики</w:t>
      </w:r>
    </w:p>
    <w:p w14:paraId="5BBB23F4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5F3E54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Контролируемыми лицами, в отношении которых осуществляется муниципальный контроль (надзор) на территории Городского округа Люберцы Московской области, являются: юридические лица, индивидуальные предприниматели и граждане.</w:t>
      </w:r>
    </w:p>
    <w:p w14:paraId="21E6EB91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Объектами муниципального контроля в сфере благоустройства                        на территории Городского округа Люберцы Московской области являются земельные участки и объекты, находящиеся в частной </w:t>
      </w:r>
      <w:proofErr w:type="gramStart"/>
      <w:r>
        <w:rPr>
          <w:rFonts w:ascii="Arial" w:hAnsi="Arial" w:cs="Arial"/>
          <w:sz w:val="24"/>
          <w:szCs w:val="24"/>
        </w:rPr>
        <w:t xml:space="preserve">собственности,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их прилегающая территория.</w:t>
      </w:r>
    </w:p>
    <w:p w14:paraId="32E7E55B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05569912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Наиболее значимыми рисками в деятельности контролируемых лиц являются:</w:t>
      </w:r>
    </w:p>
    <w:p w14:paraId="663B062D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ненадлежащее содержание территории земельного участка;</w:t>
      </w:r>
    </w:p>
    <w:p w14:paraId="0168E6DC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ненадлежащее содержание зеленых насаждений; </w:t>
      </w:r>
    </w:p>
    <w:p w14:paraId="306D38B9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установка сооружений и объектов, препятствующих                                              или ограничивающих проход пешеходов и проезд автотранспорта в местах общественного пользования;</w:t>
      </w:r>
    </w:p>
    <w:p w14:paraId="6925F0E4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 размещение автотранспортных средств вне специальных площадок, оборудованных для их размещения; </w:t>
      </w:r>
    </w:p>
    <w:p w14:paraId="6F973E71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5) вовлечение прилегающей территории земельных участков                                            в хозяйственную деятельность; </w:t>
      </w:r>
    </w:p>
    <w:p w14:paraId="184374E2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проведение земляных работ без соответствующего разрешения (ордера) на право производства работ. </w:t>
      </w:r>
    </w:p>
    <w:p w14:paraId="6EE7B114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мероприятия: на официальном сайте администрации в сети «Интернет» в разделе «Муниципальный контроль</w:t>
      </w:r>
      <w:r>
        <w:rPr>
          <w:rFonts w:ascii="Arial" w:hAnsi="Arial" w:cs="Arial"/>
          <w:color w:val="auto"/>
          <w:sz w:val="24"/>
          <w:szCs w:val="24"/>
        </w:rPr>
        <w:t>» (</w:t>
      </w:r>
      <w:proofErr w:type="spellStart"/>
      <w: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"https://www.люберцы.рф/" </w:instrText>
      </w:r>
      <w:r>
        <w:fldChar w:fldCharType="separate"/>
      </w:r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>Люберцы.рф</w:t>
      </w:r>
      <w:proofErr w:type="spellEnd"/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>/</w:t>
      </w:r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ascii="Arial" w:hAnsi="Arial" w:cs="Arial"/>
          <w:color w:val="auto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размещены и поддерживаются в актуальном состоянии нормативные правовые акты, локальные документы, другие источники информации, касающиеся осуществления муниципального контроля в сфере благоустройства:</w:t>
      </w:r>
    </w:p>
    <w:p w14:paraId="4981483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Правила благоустройства территории Городского округа Люберцы, содержащие обязательные требования, соблюдение которых оценивается               при осуществлении муниципального контроля (надзора);</w:t>
      </w:r>
    </w:p>
    <w:p w14:paraId="7FBB90C9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информация о мерах ответственности, применяемых при нарушении обязательных требований;</w:t>
      </w:r>
    </w:p>
    <w:p w14:paraId="59AE5B1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руководство    по    соблюдению   обязательных    требований                                 с разъяснением критериев правомерного поведения;</w:t>
      </w:r>
    </w:p>
    <w:p w14:paraId="10E8725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результаты обобщения правоприменительной практики контрольно-надзорной деятельности контрольного (надзорного) органа;</w:t>
      </w:r>
    </w:p>
    <w:p w14:paraId="407670C8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проверочные листы (списки контрольных вопросов), применяемые при проведении контрольных надзорных мероприятий;</w:t>
      </w:r>
    </w:p>
    <w:p w14:paraId="1AD17CF4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71B35D60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7) перечень индикаторов риска нарушения обязательных требований, порядок отнесения объектов контроля к категориям риска;</w:t>
      </w:r>
    </w:p>
    <w:p w14:paraId="091229AF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8) 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14:paraId="18D5D127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9) исчерпывающий перечень сведений, которые могут запрашиваться контрольным (надзорным) органом у контролируемого лица;</w:t>
      </w:r>
    </w:p>
    <w:p w14:paraId="5DC58FF2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10) сведения о способах получения консультаций по вопросам соблюдения обязательных требований;</w:t>
      </w:r>
    </w:p>
    <w:p w14:paraId="7F301B64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11) сведения о порядке досудебного обжалования решений контрольного (надзорного) органа, действий (бездействия) его должностных лиц;</w:t>
      </w:r>
    </w:p>
    <w:p w14:paraId="7397BB6B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12) доклады, содержащие результаты обобщения правоприменительной практики контрольного (надзорного) органа.</w:t>
      </w:r>
    </w:p>
    <w:p w14:paraId="1EFDEDE3" w14:textId="77777777" w:rsidR="00A72662" w:rsidRDefault="00E8395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9BD43E" w14:textId="77777777" w:rsidR="00A72662" w:rsidRDefault="00A72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9F989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2. Цели и задачи реализации программы профилактики               на 2026 год</w:t>
      </w:r>
    </w:p>
    <w:p w14:paraId="6456BA49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5613A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Целями проведения профилактических мероприятий в 2026 году являются:</w:t>
      </w:r>
    </w:p>
    <w:p w14:paraId="10DFDEB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стимулирование   добросовестного   соблюдения   обязательных требований всеми контролируемыми лицами;</w:t>
      </w:r>
    </w:p>
    <w:p w14:paraId="776EE01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информирование контролируемых лиц по вопросам соблюдения обязательных требований; </w:t>
      </w:r>
    </w:p>
    <w:p w14:paraId="7397267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обобщение практики наиболее часто встречающихся случаев нарушений обязательных требований и размещение на официальном сайте администрации в сети «Интернет»;</w:t>
      </w:r>
    </w:p>
    <w:p w14:paraId="08AAD2D6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своевременное    информирование    контролируемых    лиц                                             об изменениях обязательных требований.</w:t>
      </w:r>
    </w:p>
    <w:p w14:paraId="1C67131E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Проведение контрольным (надзорным) органом профилактических мероприятий направлено на решение следующих задач:</w:t>
      </w:r>
    </w:p>
    <w:p w14:paraId="3955224B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разъяснение контролируемым лицам обязательных требований;</w:t>
      </w:r>
    </w:p>
    <w:p w14:paraId="12115A29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3EBC923D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343029A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1CC7C2FC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36900CBF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 создание системы консультирования контролируемых </w:t>
      </w:r>
      <w:proofErr w:type="gramStart"/>
      <w:r>
        <w:rPr>
          <w:rFonts w:ascii="Arial" w:hAnsi="Arial" w:cs="Arial"/>
          <w:sz w:val="24"/>
          <w:szCs w:val="24"/>
        </w:rPr>
        <w:t xml:space="preserve">лиц,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в том числе с использованием современных информационно-телекоммуникационных технологий;</w:t>
      </w:r>
    </w:p>
    <w:p w14:paraId="4F45D500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4509442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Целевые показатели программы профилактики в рамках осуществления государственного контроля (надзора) на 2026 год: </w:t>
      </w:r>
    </w:p>
    <w:p w14:paraId="0F878BBF" w14:textId="77777777" w:rsidR="00A72662" w:rsidRDefault="00A726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5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03"/>
        <w:gridCol w:w="1701"/>
        <w:gridCol w:w="1701"/>
      </w:tblGrid>
      <w:tr w:rsidR="00A72662" w14:paraId="12F21C83" w14:textId="77777777">
        <w:trPr>
          <w:trHeight w:val="7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520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2F2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D22AFB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Базовый показатель</w:t>
            </w:r>
          </w:p>
          <w:p w14:paraId="34C7BA72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(2025 год),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A6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год, %</w:t>
            </w:r>
          </w:p>
        </w:tc>
      </w:tr>
      <w:tr w:rsidR="00A72662" w14:paraId="62C04D09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C91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29B" w14:textId="77777777" w:rsidR="00A72662" w:rsidRDefault="00E83955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hyperlink r:id="rId7" w:history="1">
              <w:r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https://www.люберцы.рф/</w:t>
              </w:r>
            </w:hyperlink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в соответствии с частью 3 статьи 46 Федерального закона от 31.07.2021 № 248-ФЗ «О государственном и муниципальном контроле в Российской Федерации:</w:t>
            </w:r>
          </w:p>
          <w:p w14:paraId="0DCD9EEF" w14:textId="77777777" w:rsidR="00A72662" w:rsidRDefault="00E83955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Размещена вся необходимая информация               в соответствии с частью 3 статьи 46 Федерального закона от 31.07.2021 № 248-ФЗ «О государственном и муниципальном контроле в Российской Федерации – показатель равен 100%,</w:t>
            </w:r>
          </w:p>
          <w:p w14:paraId="2456FC82" w14:textId="77777777" w:rsidR="00A72662" w:rsidRDefault="00E83955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Информация размещена не в полном объеме – показатель равен 50 %,</w:t>
            </w:r>
          </w:p>
          <w:p w14:paraId="3821DE38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Информация не размещена – показатель равен 100 %.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56DFC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D31860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B013A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4AEC8E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F4C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72662" w14:paraId="130E1255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7BA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BCD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выданных предостережений                                 о недопустимости нарушения обязательных требований:</w:t>
            </w:r>
          </w:p>
          <w:p w14:paraId="2325F7EA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Пред</w:t>
            </w:r>
            <w:r>
              <w:rPr>
                <w:rFonts w:ascii="Arial" w:hAnsi="Arial" w:cs="Arial"/>
                <w:sz w:val="24"/>
                <w:szCs w:val="24"/>
              </w:rPr>
              <w:t xml:space="preserve"> = Пред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х 100%</w:t>
            </w:r>
          </w:p>
          <w:p w14:paraId="02A48795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F20740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6E7EE1" wp14:editId="57064465">
                  <wp:extent cx="238125" cy="276225"/>
                  <wp:effectExtent l="0" t="0" r="9525" b="9525"/>
                  <wp:docPr id="14411633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6336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поступивших сведений                     о готовящихся нарушениях или признаках нарушений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0D1993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9B042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FC2237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B97917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672A6B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D31426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E85F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B753F0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1BE659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094B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36D72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99BE2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A72662" w14:paraId="70100CBD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9A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C5A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профилактический мероприятий                       по отношению к контрольным (надзорным) мероприятиям:</w:t>
            </w:r>
          </w:p>
          <w:p w14:paraId="1318AF05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ПК</w:t>
            </w:r>
            <w:r>
              <w:rPr>
                <w:rFonts w:ascii="Arial" w:hAnsi="Arial" w:cs="Arial"/>
                <w:sz w:val="24"/>
                <w:szCs w:val="24"/>
              </w:rPr>
              <w:t xml:space="preserve"> = Пред + К + И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П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34FF20BE" w14:textId="77777777" w:rsidR="00A72662" w:rsidRDefault="00A726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97EF4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1C2E029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 – количество осуществлённых консультирований;</w:t>
            </w:r>
          </w:p>
          <w:p w14:paraId="5C1E8AA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 – количество информации, размещенной             на сайте в отчетном году;</w:t>
            </w:r>
          </w:p>
          <w:p w14:paraId="1AB99843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выездных обследований;</w:t>
            </w:r>
          </w:p>
          <w:p w14:paraId="5D12FE48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 - количество предписаний, выданных                    по результатам контрольных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B1F5F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6989F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89B798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552605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A08BE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4AB1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C52AD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0A2404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573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81CA5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3BD247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FEDED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B87B6E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641F2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0CD0B3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AF244B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A72662" w14:paraId="25B6A367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10B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1981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степени исполнительности контролируемых лиц/устранение причин                 и условий выявленных нарушений обязательных требований:</w:t>
            </w:r>
          </w:p>
          <w:p w14:paraId="7B9140C7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= Пред</w:t>
            </w:r>
          </w:p>
          <w:p w14:paraId="0E6F071C" w14:textId="77777777" w:rsidR="00A72662" w:rsidRDefault="00A726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70778A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Пред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spellEnd"/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и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79A6D613" w14:textId="77777777" w:rsidR="00A72662" w:rsidRDefault="00A726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6F9B27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7ABB8C" wp14:editId="4D79B011">
                  <wp:extent cx="266700" cy="276225"/>
                  <wp:effectExtent l="0" t="0" r="0" b="9525"/>
                  <wp:docPr id="186345494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45494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249FF193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Пред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2703560B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- общее количество выданных предписаний                                        и предостережений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089BF8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5446DE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2FA151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4C8521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9C219F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C2BA6A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762C5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8F78B7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16FB6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70F5B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2B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D59BEA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CB48C3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B311E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C33D3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1110F9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C4E2B1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99006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56E310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51AF16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6AA77A09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Целевые показатели подлежат ежегодной актуализации.</w:t>
      </w:r>
    </w:p>
    <w:p w14:paraId="3601A062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2A5C4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044E4C10" w14:textId="77777777" w:rsidR="00A72662" w:rsidRDefault="00A72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C8BF07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Перечень профилактических мероприятий:</w:t>
      </w:r>
    </w:p>
    <w:p w14:paraId="125558BF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информирование;</w:t>
      </w:r>
    </w:p>
    <w:p w14:paraId="6F3A4BC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2) обобщение правоприменительной практики;</w:t>
      </w:r>
    </w:p>
    <w:p w14:paraId="2A795068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объявление предостережения о недопустимости нарушения обязательных требований;</w:t>
      </w:r>
    </w:p>
    <w:p w14:paraId="0B0E743C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консультирование;</w:t>
      </w:r>
    </w:p>
    <w:p w14:paraId="448DDC17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профилактический визит.</w:t>
      </w:r>
    </w:p>
    <w:p w14:paraId="11414456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Реализация программы профилактики осуществляется путем исполнения профилактических мероприятий в соответствии с планом-графиком проведения профилактических мероприятий, согласно Приложению № 1 к настоящей программе профилактики. </w:t>
      </w:r>
    </w:p>
    <w:p w14:paraId="0FE752E3" w14:textId="77777777" w:rsidR="00A72662" w:rsidRDefault="00A726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63986B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</w:t>
      </w:r>
    </w:p>
    <w:p w14:paraId="5FDB256C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7974B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контролируемых лиц и иных заинтересованных лиц         по вопросам соблюдения обязательных требований проводится                                  в соответствии со ст. 46 Федерального закона № 248-ФЗ.</w:t>
      </w:r>
    </w:p>
    <w:p w14:paraId="70B40A22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«Интернет» </w:t>
      </w:r>
      <w:r>
        <w:rPr>
          <w:rFonts w:ascii="Arial" w:hAnsi="Arial" w:cs="Arial"/>
          <w:color w:val="auto"/>
          <w:sz w:val="24"/>
          <w:szCs w:val="24"/>
        </w:rPr>
        <w:t>(</w:t>
      </w:r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https://www.люберцы.рф/</w:t>
        </w:r>
      </w:hyperlink>
      <w:r>
        <w:rPr>
          <w:rFonts w:ascii="Arial" w:hAnsi="Arial" w:cs="Arial"/>
          <w:color w:val="auto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5F5BE27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Контрольный (надзорный) орган размещает и поддерживает                                 в актуальном состоянии на своем официальном сайте администрации в сети «Интернет» </w:t>
      </w:r>
      <w:r>
        <w:rPr>
          <w:rFonts w:ascii="Arial" w:hAnsi="Arial" w:cs="Arial"/>
          <w:color w:val="auto"/>
          <w:sz w:val="24"/>
          <w:szCs w:val="24"/>
        </w:rPr>
        <w:t>(</w:t>
      </w:r>
      <w:hyperlink r:id="rId1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https://www.люберцы.рф/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следующую информацию:</w:t>
      </w:r>
    </w:p>
    <w:p w14:paraId="7F8CA51F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 тексты нормативных правовых актов, регулирующих осуществление государственного контроля (надзора), муниципального контроля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на постоянной основе);</w:t>
      </w:r>
    </w:p>
    <w:p w14:paraId="51A796FD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на постоянной основе);</w:t>
      </w:r>
    </w:p>
    <w:p w14:paraId="25584426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 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</w:t>
      </w:r>
      <w:proofErr w:type="gramStart"/>
      <w:r>
        <w:rPr>
          <w:rFonts w:ascii="Arial" w:hAnsi="Arial" w:cs="Arial"/>
          <w:sz w:val="24"/>
          <w:szCs w:val="24"/>
        </w:rPr>
        <w:t xml:space="preserve">требований,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с текстами в действующей редакции (на постоянной основе);</w:t>
      </w:r>
    </w:p>
    <w:p w14:paraId="463B3049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утвержденные проверочные листы в формате, допускающем                         их использование для самообследования (на постоянной основе);</w:t>
      </w:r>
    </w:p>
    <w:p w14:paraId="67B8291F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руководства по соблюдению обязательных требований, разработанные и утвержденные в соответствии с Федеральным законом                      от 31.07.2020 № 247-ФЗ «Об обязательных требованиях в Российской Федерации» (на постоянной основе);</w:t>
      </w:r>
    </w:p>
    <w:p w14:paraId="1F0E8AD7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 перечень индикаторов риска нарушения обязательных требований, порядок отнесения объектов контроля к категориям риска (на постоянной основе); </w:t>
      </w:r>
    </w:p>
    <w:p w14:paraId="0BF1284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 перечень объектов контроля, учитываемых в рамках формирования ежегодного плана контрольных (надзорных) мероприятий, с указанием категории риска (ежегодно до 1 сентября); </w:t>
      </w:r>
    </w:p>
    <w:p w14:paraId="3DA230C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 (ежегодно                        до 20 декабря); </w:t>
      </w:r>
    </w:p>
    <w:p w14:paraId="123578F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 исчерпывающий перечень сведений, которые могут запрашиваться контрольным (надзорным) органам у контролируемого лица (ежегодно                      до 1 декабря);</w:t>
      </w:r>
    </w:p>
    <w:p w14:paraId="286D6FB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10) сведения о способах получения консультаций по вопросам соблюдения обязательных требований (ежегодно до 1 сентября);</w:t>
      </w:r>
    </w:p>
    <w:p w14:paraId="0962D7B5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 сведения о порядке досудебного обжалования решений контрольного (надзорного) органа, действий (бездействия) его должностных лиц (ежегодно до 1 сентября); </w:t>
      </w:r>
    </w:p>
    <w:p w14:paraId="2FF9FEA4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 доклады, содержащие результаты обобщения правоприменительной практики контрольного (надзорного) органа (ежегодно до 1 июля);</w:t>
      </w:r>
    </w:p>
    <w:p w14:paraId="24AAA2C9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 доклады о муниципальном контроле (ежегодно до 15 марта);</w:t>
      </w:r>
    </w:p>
    <w:p w14:paraId="4133BE4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 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                                           и (или) программами профилактики рисков причинения вреда (на постоянной основе).</w:t>
      </w:r>
    </w:p>
    <w:p w14:paraId="79169728" w14:textId="77777777" w:rsidR="00A72662" w:rsidRDefault="00A726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1C7AC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Обобщение правоприменительной практики</w:t>
      </w:r>
    </w:p>
    <w:p w14:paraId="2946124A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85DA7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Обобщение правоприменительной практики проводится в соответствии со ст. 47 Федерального закона № 248-ФЗ.</w:t>
      </w:r>
    </w:p>
    <w:p w14:paraId="0D6D8F10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органа.</w:t>
      </w:r>
    </w:p>
    <w:p w14:paraId="3F15FF8D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Сроки подготовки и размещения на официальном сайте доклада                            о результатах обобщения правоприменительной практики – до 1 июля.</w:t>
      </w:r>
    </w:p>
    <w:p w14:paraId="49F9A8E8" w14:textId="77777777" w:rsidR="00A72662" w:rsidRDefault="00A72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D1B2C9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 предостережения</w:t>
      </w:r>
    </w:p>
    <w:p w14:paraId="4CC48F14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B1C5BD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 предостережения проводится в соответствии                              со ст. 49 Федерального закона № 248-ФЗ.</w:t>
      </w:r>
    </w:p>
    <w:p w14:paraId="5DFBA479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(надзорный) орган осуществляет учет объявленных предостережений о недопустимости нарушения обязательных требований                  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19E1945F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(периодичность) проведения данного мероприятия: постоянно.</w:t>
      </w:r>
    </w:p>
    <w:p w14:paraId="7E05AEE4" w14:textId="77777777" w:rsidR="00A72662" w:rsidRDefault="00A726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134B60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Консультирование</w:t>
      </w:r>
    </w:p>
    <w:p w14:paraId="6E3F871A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ED97F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Консультирование проводится в соответствии со ст. 50 Федерального закона № 248-ФЗ.</w:t>
      </w:r>
    </w:p>
    <w:p w14:paraId="1E5AAA17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Консультирование осуществляется в устной или письменной форме.</w:t>
      </w:r>
    </w:p>
    <w:p w14:paraId="173BFCBD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Консультирование проводится по следующим вопросам: </w:t>
      </w:r>
    </w:p>
    <w:p w14:paraId="735BA3F7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организация и осуществление муниципального контроля в сфере благоустройства;</w:t>
      </w:r>
    </w:p>
    <w:p w14:paraId="1DAE3B9C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порядок осуществления мероприятий муниципального контроля в сфере благоустройства;</w:t>
      </w:r>
    </w:p>
    <w:p w14:paraId="40319355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порядок обжалования действий (бездействия) должностных лиц органа муниципального контроля в сфере благоустройства;</w:t>
      </w:r>
    </w:p>
    <w:p w14:paraId="48EDFE8B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 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 в сфере благоустройства. </w:t>
      </w:r>
    </w:p>
    <w:p w14:paraId="6D4AEC17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502723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Профилактический визит</w:t>
      </w:r>
    </w:p>
    <w:p w14:paraId="13FA626D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9EBB0E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(надзорный) орган обязан предложить проведение профилактического визита контролируемым лицам не позднее чем в течение одного года с момента начала ими деятельности.</w:t>
      </w:r>
    </w:p>
    <w:p w14:paraId="6F7AB830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отношении контролируемых лиц, отнесенных к категории высокого риска, обязательный профилактический визит проводится не реже одного раза в год.</w:t>
      </w:r>
    </w:p>
    <w:p w14:paraId="51F8FACE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Контролируемое лицо вправе отказаться от проведения обязательного профилактического визита, письменно уведомив об этом контрольный (надзорный) орган не позднее, чем за три рабочих дня до даты его проведения.</w:t>
      </w:r>
    </w:p>
    <w:p w14:paraId="57BA83EE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– заявление). Перечень контролируемых лиц, осуществляющих деятельность в сфере благоустройства, в отношении которых проводится профилактический визит по заявлению указанных лиц, размещается                            на официальном сайте контрольного (надзорного) органа. Срок обновления Перечня – ежемесячно.</w:t>
      </w:r>
    </w:p>
    <w:p w14:paraId="29642C29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02FEED8D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(надзорный) орган принимает решение об отказе                           в проведении профилактического визита по заявлению контролируемого лица по одному из следующих оснований:</w:t>
      </w:r>
    </w:p>
    <w:p w14:paraId="08EBE6BC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5CFF69BA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                  в проведении профилактического визита в отношении данного контролируемого лица;</w:t>
      </w:r>
    </w:p>
    <w:p w14:paraId="4D87F494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                         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3BEB185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75AD40C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                   по заявлению контролируемого лица контрольный (надзорный) орган                           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129A6603" w14:textId="77777777" w:rsidR="00A72662" w:rsidRDefault="00A726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484D97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4. Показатели результативности и эффективности</w:t>
      </w:r>
    </w:p>
    <w:p w14:paraId="18D58528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программы профилактики</w:t>
      </w:r>
    </w:p>
    <w:p w14:paraId="52620734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BB2E29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48E68D52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Эффективность реализации программы профилактики оценивается:</w:t>
      </w:r>
    </w:p>
    <w:p w14:paraId="4FC865FE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55FDADFE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повышением уровня правовой грамотности контролируемых лиц                  в вопросах исполнения обязательных требований, степенью                                                их информативности об обязательных требованиях, о принятых и готовящихся </w:t>
      </w:r>
      <w:r>
        <w:rPr>
          <w:rFonts w:ascii="Arial" w:hAnsi="Arial" w:cs="Arial"/>
          <w:sz w:val="24"/>
          <w:szCs w:val="24"/>
        </w:rPr>
        <w:lastRenderedPageBreak/>
        <w:t>изменениях в системе обязательных требований, о порядке проведения контрольных (надзорных) мероприятий, правах контролируемых лиц                              при проведении контрольных;</w:t>
      </w:r>
    </w:p>
    <w:p w14:paraId="0008D89F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6E6AFC17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понятностью обязательных требований, обеспечивающей                           их однозначное толкование контролируемыми лицами и контрольным (надзорным) органом;</w:t>
      </w:r>
    </w:p>
    <w:p w14:paraId="1955DE45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вовлечением контролируемых лиц в регулярное взаимодействие                    с контрольным (надзорным) органом.</w:t>
      </w:r>
    </w:p>
    <w:p w14:paraId="0E3CAB27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 Основными механизмами оценки эффективности                                                   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487E9F7B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Оценка эффективности реализации Программы профилактики рассчитывается ежегодно (по итогам календарного года).</w:t>
      </w:r>
    </w:p>
    <w:p w14:paraId="3CB900E2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2063B7B8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50645D95" wp14:editId="3566FC10">
            <wp:extent cx="1228725" cy="514350"/>
            <wp:effectExtent l="0" t="0" r="9525" b="0"/>
            <wp:docPr id="15965178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1786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где:</w:t>
      </w:r>
    </w:p>
    <w:p w14:paraId="2C8BCA9D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номер показателя;</w:t>
      </w:r>
    </w:p>
    <w:p w14:paraId="09E8A86E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</w:t>
      </w:r>
      <w:proofErr w:type="spellEnd"/>
      <w:r>
        <w:rPr>
          <w:rFonts w:ascii="Arial" w:hAnsi="Arial" w:cs="Arial"/>
          <w:sz w:val="24"/>
          <w:szCs w:val="24"/>
        </w:rPr>
        <w:t xml:space="preserve"> - отклонение фактического значения i-го показателя от планового значения i-го показателя;</w:t>
      </w:r>
    </w:p>
    <w:p w14:paraId="3D922AB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Фi</w:t>
      </w:r>
      <w:proofErr w:type="spellEnd"/>
      <w:r>
        <w:rPr>
          <w:rFonts w:ascii="Arial" w:hAnsi="Arial" w:cs="Arial"/>
          <w:sz w:val="24"/>
          <w:szCs w:val="24"/>
        </w:rPr>
        <w:t xml:space="preserve"> - фактическое значение i-го показателя профилактических мероприятий;</w:t>
      </w:r>
    </w:p>
    <w:p w14:paraId="2B7CEB59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Пi</w:t>
      </w:r>
      <w:proofErr w:type="spellEnd"/>
      <w:r>
        <w:rPr>
          <w:rFonts w:ascii="Arial" w:hAnsi="Arial" w:cs="Arial"/>
          <w:sz w:val="24"/>
          <w:szCs w:val="24"/>
        </w:rPr>
        <w:t xml:space="preserve"> - плановое значение i-го показателя профилактических мероприятий.</w:t>
      </w:r>
    </w:p>
    <w:p w14:paraId="725D7265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5FA8E5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4AE0D0F9" wp14:editId="2DBDAE29">
            <wp:extent cx="1228725" cy="514350"/>
            <wp:effectExtent l="0" t="0" r="9525" b="0"/>
            <wp:docPr id="1515374565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74565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, где:</w:t>
      </w:r>
    </w:p>
    <w:p w14:paraId="78329C8E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60CF1C3B" wp14:editId="047AEC43">
            <wp:extent cx="685800" cy="276225"/>
            <wp:effectExtent l="0" t="0" r="0" b="9525"/>
            <wp:docPr id="204729922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99223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, то </w:t>
      </w:r>
      <w:r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7AC67E3C" wp14:editId="2BE5B0F8">
            <wp:extent cx="828675" cy="276225"/>
            <wp:effectExtent l="0" t="0" r="9525" b="9525"/>
            <wp:docPr id="1435039786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39786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.</w:t>
      </w:r>
    </w:p>
    <w:p w14:paraId="48ACD957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эффективности реализации Программы профилактики рассчитывается по следующей формуле:</w:t>
      </w:r>
    </w:p>
    <w:p w14:paraId="2A1AABDC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25C2E699" wp14:editId="41154084">
            <wp:extent cx="1009650" cy="514350"/>
            <wp:effectExtent l="0" t="0" r="0" b="0"/>
            <wp:docPr id="168261493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1493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где</w:t>
      </w:r>
    </w:p>
    <w:p w14:paraId="5C3FD4D0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Пэф</w:t>
      </w:r>
      <w:proofErr w:type="spellEnd"/>
      <w:r>
        <w:rPr>
          <w:rFonts w:ascii="Arial" w:hAnsi="Arial" w:cs="Arial"/>
          <w:sz w:val="24"/>
          <w:szCs w:val="24"/>
        </w:rPr>
        <w:t xml:space="preserve"> - Итоговая оценка эффективности реализации Программы профилактики;</w:t>
      </w:r>
    </w:p>
    <w:p w14:paraId="17D40AC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3CAD43C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- общее количество показателей Программы профилактики.</w:t>
      </w:r>
    </w:p>
    <w:p w14:paraId="5E0D6BC6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>
        <w:rPr>
          <w:rFonts w:ascii="Arial" w:hAnsi="Arial" w:cs="Arial"/>
          <w:sz w:val="24"/>
          <w:szCs w:val="24"/>
        </w:rPr>
        <w:t>Пэф</w:t>
      </w:r>
      <w:proofErr w:type="spellEnd"/>
      <w:r>
        <w:rPr>
          <w:rFonts w:ascii="Arial" w:hAnsi="Arial" w:cs="Arial"/>
          <w:sz w:val="24"/>
          <w:szCs w:val="24"/>
        </w:rPr>
        <w:t xml:space="preserve"> равным 100 %.</w:t>
      </w:r>
    </w:p>
    <w:p w14:paraId="43EC8643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14:paraId="63E7916D" w14:textId="77777777" w:rsidR="00A72662" w:rsidRDefault="00A726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843"/>
        <w:gridCol w:w="1843"/>
        <w:gridCol w:w="1843"/>
      </w:tblGrid>
      <w:tr w:rsidR="00A72662" w14:paraId="086E9BF4" w14:textId="77777777">
        <w:trPr>
          <w:trHeight w:val="12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1AD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Итоговая 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615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Выполнено менее </w:t>
            </w:r>
            <w:r>
              <w:rPr>
                <w:rFonts w:ascii="Arial" w:hAnsi="Arial" w:cs="Arial"/>
                <w:iCs/>
                <w:sz w:val="24"/>
                <w:szCs w:val="24"/>
              </w:rPr>
              <w:t>50%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479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>
              <w:rPr>
                <w:rFonts w:ascii="Arial" w:hAnsi="Arial" w:cs="Arial"/>
                <w:iCs/>
                <w:sz w:val="24"/>
                <w:szCs w:val="24"/>
              </w:rPr>
              <w:t>51%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iCs/>
                <w:sz w:val="24"/>
                <w:szCs w:val="24"/>
              </w:rPr>
              <w:t>80%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BE90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</w:p>
          <w:p w14:paraId="1F5D7487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iCs/>
                <w:sz w:val="24"/>
                <w:szCs w:val="24"/>
              </w:rPr>
              <w:t>81%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iCs/>
                <w:sz w:val="24"/>
                <w:szCs w:val="24"/>
              </w:rPr>
              <w:t>90%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D31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>
              <w:rPr>
                <w:rFonts w:ascii="Arial" w:hAnsi="Arial" w:cs="Arial"/>
                <w:iCs/>
                <w:sz w:val="24"/>
                <w:szCs w:val="24"/>
              </w:rPr>
              <w:t>91%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iCs/>
                <w:sz w:val="24"/>
                <w:szCs w:val="24"/>
              </w:rPr>
              <w:t>100%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A72662" w14:paraId="16313605" w14:textId="77777777">
        <w:trPr>
          <w:trHeight w:val="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961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Уровень результативности профилактической работы </w:t>
            </w:r>
            <w:r>
              <w:rPr>
                <w:rFonts w:ascii="Arial" w:hAnsi="Arial" w:cs="Arial"/>
                <w:iCs/>
                <w:sz w:val="24"/>
                <w:szCs w:val="24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862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Недопустимый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FA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Низкий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0D3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E39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Уровень лидерства</w:t>
            </w:r>
          </w:p>
        </w:tc>
      </w:tr>
    </w:tbl>
    <w:p w14:paraId="78F211F7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  <w:sectPr w:rsidR="00A7266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5" w:right="849" w:bottom="709" w:left="1701" w:header="142" w:footer="142" w:gutter="0"/>
          <w:cols w:space="720"/>
          <w:docGrid w:linePitch="299"/>
        </w:sectPr>
      </w:pPr>
    </w:p>
    <w:p w14:paraId="79A81AC0" w14:textId="77777777" w:rsidR="00A72662" w:rsidRDefault="00E83955">
      <w:pPr>
        <w:spacing w:after="0" w:line="240" w:lineRule="auto"/>
        <w:ind w:left="9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411738DA" w14:textId="77777777" w:rsidR="00A72662" w:rsidRDefault="00E83955">
      <w:pPr>
        <w:spacing w:after="0" w:line="240" w:lineRule="auto"/>
        <w:ind w:left="9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«Программе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Люберцы Московской области на 2026 год»</w:t>
      </w:r>
    </w:p>
    <w:p w14:paraId="32ECDBD6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BA7603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План-график</w:t>
      </w:r>
    </w:p>
    <w:p w14:paraId="634E1FB0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проведения профилактических мероприятий при осуществлении муниципального контроля в сфере благоустройства</w:t>
      </w:r>
    </w:p>
    <w:p w14:paraId="47229188" w14:textId="77777777" w:rsidR="00A72662" w:rsidRDefault="00E83955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на территории Городского округа Люберцы Московской области на 2026 год </w:t>
      </w:r>
    </w:p>
    <w:tbl>
      <w:tblPr>
        <w:tblW w:w="1474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3544"/>
        <w:gridCol w:w="2551"/>
        <w:gridCol w:w="1985"/>
        <w:gridCol w:w="1701"/>
        <w:gridCol w:w="2693"/>
      </w:tblGrid>
      <w:tr w:rsidR="00A72662" w14:paraId="2157A2F2" w14:textId="77777777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35EC2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3B103D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Форма мероприятия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ECEBA7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194773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6E23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03C5B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Адресаты мероприятий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2083EA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Ответственные лица</w:t>
            </w:r>
          </w:p>
        </w:tc>
      </w:tr>
      <w:tr w:rsidR="00A72662" w14:paraId="0E6727BD" w14:textId="77777777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12EC7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C5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2191AE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Актуализация и размещение на официальном сайте Городского округа Люберцы Московской области (далее – контрольный (надзорный) орган) в разделе «Муниципальный контроль» Перечней правовых актов, содержащих обязательные требования, соблюдение которых оценивается при проведении мероприятий по контролю.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82A8BC2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0488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Соответствующий раздел на сайте администрации контрольного (надзорного) органа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BE21E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8E768F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17754F5C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6C44B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1BA2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6F4EDD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Подготовка и размещение разъяснительных материалов, информационных писем,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руководств по вопросам соблюдения обязательных требований и в средствах массовой информации, и на официальном сайте администрации контрольного (надзорного) органа.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D544E3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Ежегодно до 1 июля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9149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Предупреждение нарушений обязательных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75CF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A72CF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Начальник управления муниципального контроля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A72662" w14:paraId="518CB174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723C6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66A1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1620A3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Размещение на официальном сайте администрации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92E2CF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В течение 10 дней с даты утверждения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F721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8E5D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A52BC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7BD8A188" w14:textId="77777777">
        <w:trPr>
          <w:trHeight w:val="48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D809246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6D1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941B363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Актуализация информации о порядке и сроках осуществления контрольным (надзорным) органом муниципального контроля в сфере благоустройства на территории Городского округа Люберцы Московской области и размещение на официальном сайте администрации результатов контрольно-надзорных мероприятий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88BD9A6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9725F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581C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206BE9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7BE6DEA9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B9E11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FCB41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A9527C0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Формирование и размещение на официальном сайте администрации 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722CB5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Ежегодно до 1 июля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F933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Размещение на официальном сайте администрации контрольного (надзорного) органа 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3B5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914A93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4649484B" w14:textId="77777777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F903D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16028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Выдача предостережений               о недопустимости нарушений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56C2607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0FB8F5D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7E52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31D6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878D6D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1D96DBAC" w14:textId="77777777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6739D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9B8" w14:textId="77777777" w:rsidR="00A72662" w:rsidRDefault="00E83955">
            <w:pPr>
              <w:spacing w:before="100" w:after="100" w:line="240" w:lineRule="auto"/>
              <w:ind w:left="-4" w:right="60" w:firstLine="6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CA15ECD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Проведение консультаций контролируемых лиц по вопросам соблюдения обязательных требований (по телефону, посредством видео-конференц-связи, на личном приеме либо в ходе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проведения профилактического мероприятия, контрольного (надзорного) мероприятия)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5BEB8D6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По мере поступления заявки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5C5D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338EB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EB8696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7348C433" w14:textId="77777777">
        <w:trPr>
          <w:trHeight w:val="9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760B49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30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63006A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Проведение приемов, в рамках которых контролируемым лицам разъясняются обязательные требования (посредством видео-конференц-связи, на личном приеме)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B7B4EB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 мере поступления заявки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6ADF9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D02D9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CF30D0E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1131E206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9BCADE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87AD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9DC00A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8126DAB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 мере поступления заявки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3940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F16F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B06C27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21E863E7" w14:textId="77777777">
        <w:trPr>
          <w:trHeight w:val="28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1B8A917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3BB7F0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20C513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D93D14B" w14:textId="77777777" w:rsidR="00A72662" w:rsidRDefault="00E83955">
            <w:pPr>
              <w:spacing w:after="0" w:line="240" w:lineRule="auto"/>
              <w:ind w:right="6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По мере поступления заявки от контролируемых лиц; в отношении контролируемых лиц, приступающих к осуществлению деятельности в определенной сфере - в течение месяца со дня выявления такого лица, в 3 квартале по предложению контрольного (надзорного) органа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0F3D3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6CDB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AF3DF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</w:tbl>
    <w:p w14:paraId="6B4D597A" w14:textId="77777777" w:rsidR="00A72662" w:rsidRDefault="00A72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72662">
      <w:pgSz w:w="16838" w:h="11906" w:orient="landscape"/>
      <w:pgMar w:top="1701" w:right="1134" w:bottom="849" w:left="85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B4B3" w14:textId="77777777" w:rsidR="00A72662" w:rsidRDefault="00E83955">
      <w:pPr>
        <w:spacing w:line="240" w:lineRule="auto"/>
      </w:pPr>
      <w:r>
        <w:separator/>
      </w:r>
    </w:p>
  </w:endnote>
  <w:endnote w:type="continuationSeparator" w:id="0">
    <w:p w14:paraId="15D62BC1" w14:textId="77777777" w:rsidR="00A72662" w:rsidRDefault="00E83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92E7" w14:textId="77777777" w:rsidR="00A72662" w:rsidRDefault="00A72662">
    <w:pPr>
      <w:pStyle w:val="ac"/>
      <w:jc w:val="center"/>
    </w:pPr>
  </w:p>
  <w:p w14:paraId="478E7F0F" w14:textId="77777777" w:rsidR="00A72662" w:rsidRDefault="00A7266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02CC" w14:textId="77777777" w:rsidR="00A72662" w:rsidRDefault="00A72662">
    <w:pPr>
      <w:pStyle w:val="ac"/>
      <w:ind w:right="90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F32D" w14:textId="77777777" w:rsidR="00A72662" w:rsidRDefault="00E83955">
      <w:pPr>
        <w:spacing w:after="0"/>
      </w:pPr>
      <w:r>
        <w:separator/>
      </w:r>
    </w:p>
  </w:footnote>
  <w:footnote w:type="continuationSeparator" w:id="0">
    <w:p w14:paraId="2252C7EC" w14:textId="77777777" w:rsidR="00A72662" w:rsidRDefault="00E839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D76D" w14:textId="77777777" w:rsidR="00A72662" w:rsidRDefault="00E83955">
    <w:pPr>
      <w:shd w:val="clear" w:color="auto" w:fill="FFFFFF" w:themeFill="background1"/>
      <w:spacing w:after="0" w:line="240" w:lineRule="auto"/>
      <w:ind w:right="-10" w:firstLine="708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ab/>
    </w:r>
  </w:p>
  <w:p w14:paraId="5F2F1071" w14:textId="77777777" w:rsidR="00A72662" w:rsidRDefault="00E83955">
    <w:pPr>
      <w:pStyle w:val="a6"/>
      <w:tabs>
        <w:tab w:val="clear" w:pos="4677"/>
        <w:tab w:val="clear" w:pos="9355"/>
        <w:tab w:val="left" w:pos="5711"/>
      </w:tabs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C421" w14:textId="77777777" w:rsidR="00A72662" w:rsidRDefault="00A72662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A7"/>
    <w:rsid w:val="00005900"/>
    <w:rsid w:val="0001124F"/>
    <w:rsid w:val="000132A1"/>
    <w:rsid w:val="00017877"/>
    <w:rsid w:val="00017F0D"/>
    <w:rsid w:val="00022432"/>
    <w:rsid w:val="00030979"/>
    <w:rsid w:val="00032289"/>
    <w:rsid w:val="00036B00"/>
    <w:rsid w:val="000577E2"/>
    <w:rsid w:val="00062B7D"/>
    <w:rsid w:val="000669D0"/>
    <w:rsid w:val="00066AEC"/>
    <w:rsid w:val="00080D1B"/>
    <w:rsid w:val="00081B26"/>
    <w:rsid w:val="000908AA"/>
    <w:rsid w:val="000A29F8"/>
    <w:rsid w:val="000A691E"/>
    <w:rsid w:val="000B3618"/>
    <w:rsid w:val="000C4545"/>
    <w:rsid w:val="000E21F3"/>
    <w:rsid w:val="000F39C0"/>
    <w:rsid w:val="000F72D2"/>
    <w:rsid w:val="00103D75"/>
    <w:rsid w:val="00110A88"/>
    <w:rsid w:val="001130C8"/>
    <w:rsid w:val="00117E33"/>
    <w:rsid w:val="00126ED4"/>
    <w:rsid w:val="001362A5"/>
    <w:rsid w:val="00143C5E"/>
    <w:rsid w:val="0019592B"/>
    <w:rsid w:val="001960CD"/>
    <w:rsid w:val="00196E5D"/>
    <w:rsid w:val="001B6729"/>
    <w:rsid w:val="001D39CF"/>
    <w:rsid w:val="001E613A"/>
    <w:rsid w:val="001E7A27"/>
    <w:rsid w:val="001F243B"/>
    <w:rsid w:val="001F5430"/>
    <w:rsid w:val="0020209F"/>
    <w:rsid w:val="00207F93"/>
    <w:rsid w:val="00223556"/>
    <w:rsid w:val="0023063D"/>
    <w:rsid w:val="00232FF2"/>
    <w:rsid w:val="00241B78"/>
    <w:rsid w:val="002651C1"/>
    <w:rsid w:val="00266C46"/>
    <w:rsid w:val="00273FD5"/>
    <w:rsid w:val="00280F2D"/>
    <w:rsid w:val="00291C67"/>
    <w:rsid w:val="002B5B08"/>
    <w:rsid w:val="002C00DB"/>
    <w:rsid w:val="002C7422"/>
    <w:rsid w:val="002E5563"/>
    <w:rsid w:val="0030274D"/>
    <w:rsid w:val="00305941"/>
    <w:rsid w:val="00327F01"/>
    <w:rsid w:val="00336330"/>
    <w:rsid w:val="00380D79"/>
    <w:rsid w:val="003849BC"/>
    <w:rsid w:val="003C0C5F"/>
    <w:rsid w:val="003C35E2"/>
    <w:rsid w:val="003E215A"/>
    <w:rsid w:val="003E7215"/>
    <w:rsid w:val="003E7904"/>
    <w:rsid w:val="003F0052"/>
    <w:rsid w:val="0040464B"/>
    <w:rsid w:val="00406BA7"/>
    <w:rsid w:val="004140B0"/>
    <w:rsid w:val="0041550A"/>
    <w:rsid w:val="004162AC"/>
    <w:rsid w:val="004210FF"/>
    <w:rsid w:val="00425747"/>
    <w:rsid w:val="00430368"/>
    <w:rsid w:val="00437A99"/>
    <w:rsid w:val="004515D1"/>
    <w:rsid w:val="0045402D"/>
    <w:rsid w:val="00454726"/>
    <w:rsid w:val="00466F76"/>
    <w:rsid w:val="004730E0"/>
    <w:rsid w:val="0047600A"/>
    <w:rsid w:val="00480510"/>
    <w:rsid w:val="00493BC5"/>
    <w:rsid w:val="004B0856"/>
    <w:rsid w:val="004B1A09"/>
    <w:rsid w:val="004D07BD"/>
    <w:rsid w:val="004D5E88"/>
    <w:rsid w:val="004F0CA4"/>
    <w:rsid w:val="0051630F"/>
    <w:rsid w:val="00523F84"/>
    <w:rsid w:val="005525F1"/>
    <w:rsid w:val="00561D97"/>
    <w:rsid w:val="0057115D"/>
    <w:rsid w:val="005711B6"/>
    <w:rsid w:val="00572F21"/>
    <w:rsid w:val="00574A44"/>
    <w:rsid w:val="00580857"/>
    <w:rsid w:val="00581612"/>
    <w:rsid w:val="00592F6D"/>
    <w:rsid w:val="005A7B1F"/>
    <w:rsid w:val="005C0967"/>
    <w:rsid w:val="005C2397"/>
    <w:rsid w:val="005C3AB2"/>
    <w:rsid w:val="005D16E0"/>
    <w:rsid w:val="005E1FF6"/>
    <w:rsid w:val="005F7CEB"/>
    <w:rsid w:val="006018AB"/>
    <w:rsid w:val="006032BB"/>
    <w:rsid w:val="00613528"/>
    <w:rsid w:val="00620D83"/>
    <w:rsid w:val="00627F30"/>
    <w:rsid w:val="00636336"/>
    <w:rsid w:val="0064657C"/>
    <w:rsid w:val="0065131C"/>
    <w:rsid w:val="006666AF"/>
    <w:rsid w:val="00667370"/>
    <w:rsid w:val="00670F95"/>
    <w:rsid w:val="006776B5"/>
    <w:rsid w:val="00683E1F"/>
    <w:rsid w:val="00692969"/>
    <w:rsid w:val="006A393F"/>
    <w:rsid w:val="006B6D0A"/>
    <w:rsid w:val="006C3469"/>
    <w:rsid w:val="006D46D2"/>
    <w:rsid w:val="00705402"/>
    <w:rsid w:val="00705852"/>
    <w:rsid w:val="00721C96"/>
    <w:rsid w:val="00723716"/>
    <w:rsid w:val="00735540"/>
    <w:rsid w:val="00750EE0"/>
    <w:rsid w:val="00753E45"/>
    <w:rsid w:val="00761F0A"/>
    <w:rsid w:val="00777F8C"/>
    <w:rsid w:val="00791074"/>
    <w:rsid w:val="007A59B0"/>
    <w:rsid w:val="007A7DA5"/>
    <w:rsid w:val="007C637D"/>
    <w:rsid w:val="007E3293"/>
    <w:rsid w:val="007F348A"/>
    <w:rsid w:val="00816824"/>
    <w:rsid w:val="00835E68"/>
    <w:rsid w:val="00844AC0"/>
    <w:rsid w:val="00846772"/>
    <w:rsid w:val="008604BF"/>
    <w:rsid w:val="008628DC"/>
    <w:rsid w:val="00882AE9"/>
    <w:rsid w:val="008A7164"/>
    <w:rsid w:val="008D4C20"/>
    <w:rsid w:val="008D7472"/>
    <w:rsid w:val="008F1AEE"/>
    <w:rsid w:val="008F4A66"/>
    <w:rsid w:val="008F7062"/>
    <w:rsid w:val="009018D5"/>
    <w:rsid w:val="00906E72"/>
    <w:rsid w:val="0091608B"/>
    <w:rsid w:val="00931F0F"/>
    <w:rsid w:val="009361EF"/>
    <w:rsid w:val="00944035"/>
    <w:rsid w:val="00962BC2"/>
    <w:rsid w:val="00966B28"/>
    <w:rsid w:val="0097656D"/>
    <w:rsid w:val="0098198A"/>
    <w:rsid w:val="0098223C"/>
    <w:rsid w:val="00985773"/>
    <w:rsid w:val="009A1AF7"/>
    <w:rsid w:val="009A3ADA"/>
    <w:rsid w:val="009D46EC"/>
    <w:rsid w:val="009E0287"/>
    <w:rsid w:val="009F0CCA"/>
    <w:rsid w:val="009F5E08"/>
    <w:rsid w:val="00A0456E"/>
    <w:rsid w:val="00A33BC3"/>
    <w:rsid w:val="00A409C7"/>
    <w:rsid w:val="00A451B2"/>
    <w:rsid w:val="00A72662"/>
    <w:rsid w:val="00AA55D0"/>
    <w:rsid w:val="00AC1E1E"/>
    <w:rsid w:val="00AC5078"/>
    <w:rsid w:val="00AD5648"/>
    <w:rsid w:val="00AE2554"/>
    <w:rsid w:val="00B317B1"/>
    <w:rsid w:val="00B35C0F"/>
    <w:rsid w:val="00B52F4E"/>
    <w:rsid w:val="00B65101"/>
    <w:rsid w:val="00B76962"/>
    <w:rsid w:val="00BB1A06"/>
    <w:rsid w:val="00BB4C2C"/>
    <w:rsid w:val="00BB7F3F"/>
    <w:rsid w:val="00BD14D7"/>
    <w:rsid w:val="00C422EE"/>
    <w:rsid w:val="00C7026B"/>
    <w:rsid w:val="00C70637"/>
    <w:rsid w:val="00C71FC7"/>
    <w:rsid w:val="00C76FFF"/>
    <w:rsid w:val="00C85D59"/>
    <w:rsid w:val="00C861EF"/>
    <w:rsid w:val="00C92553"/>
    <w:rsid w:val="00CD4BB1"/>
    <w:rsid w:val="00CE4BC1"/>
    <w:rsid w:val="00CF72D8"/>
    <w:rsid w:val="00D2005A"/>
    <w:rsid w:val="00D20B45"/>
    <w:rsid w:val="00D2249D"/>
    <w:rsid w:val="00D22F78"/>
    <w:rsid w:val="00D31D78"/>
    <w:rsid w:val="00D52275"/>
    <w:rsid w:val="00D52C97"/>
    <w:rsid w:val="00D54E40"/>
    <w:rsid w:val="00D61BFA"/>
    <w:rsid w:val="00D65919"/>
    <w:rsid w:val="00D802CC"/>
    <w:rsid w:val="00D94D79"/>
    <w:rsid w:val="00DA75E0"/>
    <w:rsid w:val="00DF2DA2"/>
    <w:rsid w:val="00DF58E8"/>
    <w:rsid w:val="00E043E5"/>
    <w:rsid w:val="00E04B5B"/>
    <w:rsid w:val="00E248DC"/>
    <w:rsid w:val="00E250E1"/>
    <w:rsid w:val="00E530AB"/>
    <w:rsid w:val="00E62426"/>
    <w:rsid w:val="00E70A7D"/>
    <w:rsid w:val="00E83548"/>
    <w:rsid w:val="00E83955"/>
    <w:rsid w:val="00E930A3"/>
    <w:rsid w:val="00EB457C"/>
    <w:rsid w:val="00EB655D"/>
    <w:rsid w:val="00EC1A0C"/>
    <w:rsid w:val="00EC5C1E"/>
    <w:rsid w:val="00ED3C27"/>
    <w:rsid w:val="00EE12EC"/>
    <w:rsid w:val="00F014AA"/>
    <w:rsid w:val="00F01828"/>
    <w:rsid w:val="00F15E86"/>
    <w:rsid w:val="00F303C6"/>
    <w:rsid w:val="00F33355"/>
    <w:rsid w:val="00F34947"/>
    <w:rsid w:val="00F3656E"/>
    <w:rsid w:val="00F63288"/>
    <w:rsid w:val="00F63CB1"/>
    <w:rsid w:val="00F64BE1"/>
    <w:rsid w:val="00F65480"/>
    <w:rsid w:val="00F73F94"/>
    <w:rsid w:val="00F85EA9"/>
    <w:rsid w:val="00F87D4B"/>
    <w:rsid w:val="00FA7D4D"/>
    <w:rsid w:val="00FB69C2"/>
    <w:rsid w:val="00FD278B"/>
    <w:rsid w:val="00FD7B81"/>
    <w:rsid w:val="00FE3135"/>
    <w:rsid w:val="00FE7283"/>
    <w:rsid w:val="00FF007F"/>
    <w:rsid w:val="00FF39B4"/>
    <w:rsid w:val="00FF58D1"/>
    <w:rsid w:val="2ABA48CC"/>
    <w:rsid w:val="69E00045"/>
    <w:rsid w:val="78A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BEB6"/>
  <w15:docId w15:val="{827A7245-1B9B-49A9-930C-D3099108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8">
    <w:name w:val="Body Text"/>
    <w:basedOn w:val="a"/>
    <w:link w:val="a9"/>
    <w:uiPriority w:val="1"/>
    <w:qFormat/>
    <w:pPr>
      <w:widowControl w:val="0"/>
      <w:spacing w:after="0" w:line="240" w:lineRule="auto"/>
      <w:ind w:left="533" w:firstLine="708"/>
      <w:jc w:val="both"/>
    </w:pPr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styleId="11">
    <w:name w:val="toc 1"/>
    <w:next w:val="a"/>
    <w:link w:val="12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2">
    <w:name w:val="toc 2"/>
    <w:next w:val="a"/>
    <w:link w:val="23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link w:val="af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бычный1"/>
    <w:qFormat/>
  </w:style>
  <w:style w:type="character" w:customStyle="1" w:styleId="23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5">
    <w:name w:val="Текст выноски Знак"/>
    <w:basedOn w:val="13"/>
    <w:link w:val="a4"/>
    <w:qFormat/>
    <w:rPr>
      <w:rFonts w:ascii="Tahoma" w:hAnsi="Tahoma"/>
      <w:sz w:val="16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ConsPlusNormal">
    <w:name w:val="ConsPlusNormal"/>
    <w:link w:val="ConsPlusNormal11"/>
    <w:qFormat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1">
    <w:name w:val="ConsPlusNormal11"/>
    <w:link w:val="ConsPlusNormal"/>
    <w:qFormat/>
    <w:rPr>
      <w:rFonts w:ascii="Calibri" w:hAnsi="Calibri"/>
    </w:rPr>
  </w:style>
  <w:style w:type="paragraph" w:customStyle="1" w:styleId="14">
    <w:name w:val="Гиперссылка1"/>
    <w:link w:val="110"/>
    <w:qFormat/>
    <w:pPr>
      <w:spacing w:after="200" w:line="276" w:lineRule="auto"/>
    </w:pPr>
    <w:rPr>
      <w:color w:val="0000FF"/>
      <w:sz w:val="22"/>
      <w:u w:val="single"/>
    </w:rPr>
  </w:style>
  <w:style w:type="character" w:customStyle="1" w:styleId="110">
    <w:name w:val="Гиперссылка11"/>
    <w:link w:val="14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2">
    <w:name w:val="Оглавление 1 Знак"/>
    <w:link w:val="11"/>
    <w:qFormat/>
    <w:rPr>
      <w:rFonts w:ascii="XO Thames" w:hAnsi="XO Thames"/>
      <w:b/>
      <w:sz w:val="28"/>
    </w:rPr>
  </w:style>
  <w:style w:type="paragraph" w:customStyle="1" w:styleId="111">
    <w:name w:val="Обычный11"/>
    <w:link w:val="120"/>
    <w:qFormat/>
    <w:pPr>
      <w:spacing w:after="200" w:line="276" w:lineRule="auto"/>
    </w:pPr>
    <w:rPr>
      <w:color w:val="000000"/>
      <w:sz w:val="22"/>
    </w:rPr>
  </w:style>
  <w:style w:type="character" w:customStyle="1" w:styleId="120">
    <w:name w:val="Обычный12"/>
    <w:link w:val="111"/>
    <w:qFormat/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styleId="af1">
    <w:name w:val="List Paragraph"/>
    <w:basedOn w:val="a"/>
    <w:link w:val="af2"/>
    <w:qFormat/>
    <w:pPr>
      <w:ind w:left="720"/>
      <w:contextualSpacing/>
    </w:pPr>
  </w:style>
  <w:style w:type="character" w:customStyle="1" w:styleId="af2">
    <w:name w:val="Абзац списка Знак"/>
    <w:basedOn w:val="13"/>
    <w:link w:val="af1"/>
    <w:qFormat/>
  </w:style>
  <w:style w:type="paragraph" w:customStyle="1" w:styleId="ConsPlusTitle">
    <w:name w:val="ConsPlusTitle"/>
    <w:link w:val="ConsPlusTitle1"/>
    <w:qFormat/>
    <w:pPr>
      <w:widowControl w:val="0"/>
    </w:pPr>
    <w:rPr>
      <w:rFonts w:ascii="Calibri" w:hAnsi="Calibri"/>
      <w:b/>
      <w:color w:val="000000"/>
      <w:sz w:val="22"/>
    </w:rPr>
  </w:style>
  <w:style w:type="character" w:customStyle="1" w:styleId="ConsPlusTitle1">
    <w:name w:val="ConsPlusTitle1"/>
    <w:link w:val="ConsPlusTitle"/>
    <w:qFormat/>
    <w:rPr>
      <w:rFonts w:ascii="Calibri" w:hAnsi="Calibri"/>
      <w:b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200" w:line="276" w:lineRule="auto"/>
    </w:pPr>
    <w:rPr>
      <w:color w:val="000000"/>
      <w:sz w:val="22"/>
    </w:rPr>
  </w:style>
  <w:style w:type="paragraph" w:customStyle="1" w:styleId="112">
    <w:name w:val="Основной шрифт абзаца11"/>
    <w:link w:val="121"/>
    <w:qFormat/>
    <w:pPr>
      <w:spacing w:after="200" w:line="276" w:lineRule="auto"/>
    </w:pPr>
    <w:rPr>
      <w:color w:val="000000"/>
      <w:sz w:val="22"/>
    </w:rPr>
  </w:style>
  <w:style w:type="character" w:customStyle="1" w:styleId="121">
    <w:name w:val="Основной шрифт абзаца12"/>
    <w:link w:val="112"/>
    <w:qFormat/>
  </w:style>
  <w:style w:type="character" w:customStyle="1" w:styleId="af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ab">
    <w:name w:val="Заголовок Знак"/>
    <w:link w:val="aa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color w:val="auto"/>
      <w:szCs w:val="22"/>
      <w:lang w:bidi="ru-RU"/>
    </w:rPr>
  </w:style>
  <w:style w:type="character" w:customStyle="1" w:styleId="ConsPlusNormal1">
    <w:name w:val="ConsPlusNormal1"/>
    <w:qFormat/>
    <w:rPr>
      <w:rFonts w:ascii="Times New Roman" w:eastAsia="Times New Roman" w:hAnsi="Times New Roman"/>
      <w:sz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&#1083;&#1102;&#1073;&#1077;&#1088;&#1094;&#1099;.&#1088;&#1092;/" TargetMode="Externa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&#1083;&#1102;&#1073;&#1077;&#1088;&#1094;&#1099;.&#1088;&#1092;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hyperlink" Target="https://www.&#1083;&#1102;&#1073;&#1077;&#1088;&#1094;&#1099;.&#1088;&#1092;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393C-8C97-48E1-8FB4-8C4BCAC67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4712</Words>
  <Characters>26864</Characters>
  <Application>Microsoft Office Word</Application>
  <DocSecurity>0</DocSecurity>
  <Lines>223</Lines>
  <Paragraphs>63</Paragraphs>
  <ScaleCrop>false</ScaleCrop>
  <Company/>
  <LinksUpToDate>false</LinksUpToDate>
  <CharactersWithSpaces>31513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2025-12-01T06:28:00Z</cp:lastPrinted>
  <dcterms:created xsi:type="dcterms:W3CDTF">2025-12-08T05:56:00Z</dcterms:created>
  <dcterms:modified xsi:type="dcterms:W3CDTF">2025-12-16T08:33:00Z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B108D04CEDBD431981E7575CB5CBA6C6_12</vt:lpwstr>
  </property>
</Properties>
</file>