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97" w:rsidRPr="003E0702" w:rsidRDefault="002112AD" w:rsidP="00623E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Уважаемые землепользователи!</w:t>
      </w:r>
    </w:p>
    <w:p w:rsidR="003E0702" w:rsidRDefault="003E0702" w:rsidP="003E0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E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Люберцы в соответствии с частью 3.1 статьи 15 Федерального закона от 03.07.2016 № 237-ФЗ «О государственной кадастровой оценке» (далее – Федеральный закон № 237-ФЗ) уведомляет об утверждении результатов определения кадастровой стоимости земельных участков на территории Московской области по состоянию </w:t>
      </w:r>
      <w:r w:rsidRPr="004F1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01.01.2022</w:t>
      </w:r>
      <w:r w:rsidR="007E1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нормативными правовыми актами:</w:t>
      </w:r>
    </w:p>
    <w:p w:rsidR="003E0702" w:rsidRPr="007E1C54" w:rsidRDefault="0033438E" w:rsidP="003E0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3E0702" w:rsidRPr="007E1C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Министерства имущественных отношений Московской области от 28.11.2022 №15ВР-2452 «Об утверждении результатов определения кадастровой стоимости»</w:t>
        </w:r>
      </w:hyperlink>
      <w:r w:rsidR="002112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0702" w:rsidRPr="007E1C54" w:rsidRDefault="0033438E" w:rsidP="003E0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E0702" w:rsidRPr="007E1C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Министерства имущественных отношений Московской области от 28.11.2022 №15ВР-2453 «Об утверждении средних значений кадастровой стоимости»</w:t>
        </w:r>
      </w:hyperlink>
    </w:p>
    <w:p w:rsidR="003E0702" w:rsidRDefault="003E0702" w:rsidP="003E07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1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Распоряжения с приложениями можно с официального сайта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(</w:t>
      </w:r>
      <w:hyperlink r:id="rId7" w:history="1">
        <w:r w:rsidRPr="004E5C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https://люберцы.рф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разделах «Новости» или «Полезная информация», с инвестиционного портала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(</w:t>
      </w:r>
      <w:hyperlink r:id="rId8" w:history="1">
        <w:r w:rsidRPr="004E5C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https://investlub.ru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разделах «Новости» или «Актуально», а также с официального сайта Министерства имущественных отношений Московской области (</w:t>
      </w:r>
      <w:hyperlink r:id="rId9" w:history="1">
        <w:r w:rsidRPr="004E5C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https://mio.mosreg.ru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«</w:t>
      </w:r>
      <w:r w:rsidRPr="004D7F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7F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D7F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Распорядительные акты, принятые Министерством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01BD3" w:rsidRPr="000D4C0A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 сообщаем, что ГБУ МО «Центр кадастровой оценки» рассматривает заявления об исправлении ошибок, допущенных при определении кадастровой стоимости, которые в соответствии с частью 9 статьи 21 Федерального закона № 237-ФЗ должны содержать следующие сведения:</w:t>
      </w:r>
    </w:p>
    <w:p w:rsidR="00401BD3" w:rsidRPr="000D4C0A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фамилию, имя и отчество (отчество –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401BD3" w:rsidRPr="000D4C0A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кадастровый номер объекта недвижимости (объектов недвижимости), в </w:t>
      </w:r>
      <w:proofErr w:type="gramStart"/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подается заявление об исправлении ошибок, допущенных при определении кадастровой стоимости;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содержание ошибок, допущенных при определении кадастровой стоимости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перечислением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Обратиться за получением данной услуги в ГБУ МО «Центр кадастровой оценки» можно следующими способами: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информационную систему Московской области «Портал государственных и муниципальных услуг Московской области» (</w:t>
      </w:r>
      <w:hyperlink r:id="rId10" w:history="1">
        <w:r w:rsidRPr="004E5C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https://uslugi.mosreg.ru/services/20823</w:t>
        </w:r>
      </w:hyperlink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многофункциональные центры предоставления государственных и муниципальных услуг Московской области (МФЦ), в которых имеется бесплатный доступ заявителей к РПГУ;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почтовым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отправлением в адрес ГБУ МО «Центр кадастровой оценки» (143407, Московская область, г. Красногорск, бульвар Строителей, д.1);</w:t>
      </w:r>
    </w:p>
    <w:p w:rsidR="00401BD3" w:rsidRPr="0090266F" w:rsidRDefault="00401BD3" w:rsidP="00401BD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</w:t>
      </w:r>
      <w:r w:rsidRPr="000D4C0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направлением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ГБУ МО «Центр кадастровой оценки» </w:t>
      </w:r>
      <w:hyperlink r:id="rId11" w:history="1">
        <w:r w:rsidRPr="004E5C4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cko-mo@mosreg.ru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66F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(обращение должно быть заверено электронной цифровой подписью).</w:t>
      </w:r>
    </w:p>
    <w:p w:rsidR="00630692" w:rsidRPr="00674CC9" w:rsidRDefault="000D4C0A" w:rsidP="0076159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 w:rsidRPr="00674CC9">
        <w:rPr>
          <w:rFonts w:ascii="Times New Roman" w:hAnsi="Times New Roman"/>
          <w:b/>
          <w:sz w:val="28"/>
        </w:rPr>
        <w:t>Кроме того, плательщикам земельного налога следует обратить внимание на следующие особенности налогообложения</w:t>
      </w:r>
      <w:r w:rsidR="00674CC9" w:rsidRPr="00674CC9">
        <w:rPr>
          <w:rFonts w:ascii="Times New Roman" w:hAnsi="Times New Roman"/>
          <w:b/>
          <w:sz w:val="28"/>
        </w:rPr>
        <w:t>.</w:t>
      </w:r>
    </w:p>
    <w:p w:rsidR="00674CC9" w:rsidRPr="002C3406" w:rsidRDefault="00674CC9" w:rsidP="00674C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01.01.2023 года вступит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новая редакция НК РФ, где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391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 РФ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новая кадастровая стоимость будет превышать налогооблагаемую базу 2022 года, то налог будет исчислен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предыдущей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CC9" w:rsidRDefault="00674CC9" w:rsidP="00674C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физических лиц это означает, что по новой кадастровой стоимости налог будет </w:t>
      </w:r>
      <w:r w:rsidRPr="0067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 только в 2025 году.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CC9" w:rsidRPr="002C3406" w:rsidRDefault="00674CC9" w:rsidP="00674C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 году физические лица оплачивают земельный налог за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будет посчитан по кадастровой стоимости текущего года и только в 2025 году налог будет начислен исходя из новой кадастровой стоимости.</w:t>
      </w:r>
    </w:p>
    <w:p w:rsidR="007362CC" w:rsidRDefault="00322D33" w:rsidP="00322D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следует иметь в виду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Pr="002C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физических лиц </w:t>
      </w:r>
      <w:r w:rsidRPr="002E2D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коэффициент 1,1</w:t>
      </w:r>
      <w:r w:rsidRPr="00687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ограничивает возможный рост земельного налога физических лиц 10% вне зависимости от роста кадастровой стоимости.</w:t>
      </w:r>
      <w:r w:rsidR="00D3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D33" w:rsidRDefault="00322D33" w:rsidP="00322D3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земельный налог </w:t>
      </w:r>
      <w:r w:rsidRPr="00317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новой кадастровой стоимости будет исчислен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7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22D33" w:rsidSect="00C7674A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2F"/>
    <w:rsid w:val="000D4C0A"/>
    <w:rsid w:val="000D6EF3"/>
    <w:rsid w:val="000E249C"/>
    <w:rsid w:val="002112AD"/>
    <w:rsid w:val="003224A4"/>
    <w:rsid w:val="00322D33"/>
    <w:rsid w:val="0033438E"/>
    <w:rsid w:val="003E0702"/>
    <w:rsid w:val="00401BD3"/>
    <w:rsid w:val="0043582F"/>
    <w:rsid w:val="00463BB8"/>
    <w:rsid w:val="005C6BC5"/>
    <w:rsid w:val="00623E97"/>
    <w:rsid w:val="00630692"/>
    <w:rsid w:val="00674CC9"/>
    <w:rsid w:val="006F7E85"/>
    <w:rsid w:val="007362CC"/>
    <w:rsid w:val="00761593"/>
    <w:rsid w:val="007A25D5"/>
    <w:rsid w:val="007E1C54"/>
    <w:rsid w:val="00912850"/>
    <w:rsid w:val="009857CF"/>
    <w:rsid w:val="009A43B5"/>
    <w:rsid w:val="009F750B"/>
    <w:rsid w:val="00A4400A"/>
    <w:rsid w:val="00B47C98"/>
    <w:rsid w:val="00C7674A"/>
    <w:rsid w:val="00C8488B"/>
    <w:rsid w:val="00D35D9E"/>
    <w:rsid w:val="00F25808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E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6E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E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6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lub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83;&#1102;&#1073;&#1077;&#1088;&#1094;&#1099;.&#1088;&#1092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o.mosreg.ru/dokumenty/normotvorchestvo/rasporyaditelnye-akty-prinyatye-ministerstvom/29-11-2022-17-57-32-rasporyazhenie-ministerstva-imushchestvennykh-otno" TargetMode="External"/><Relationship Id="rId11" Type="http://schemas.openxmlformats.org/officeDocument/2006/relationships/hyperlink" Target="mailto:cko-mo@mosreg.ru" TargetMode="External"/><Relationship Id="rId5" Type="http://schemas.openxmlformats.org/officeDocument/2006/relationships/hyperlink" Target="https://mio.mosreg.ru/dokumenty/normotvorchestvo/rasporyaditelnye-akty-prinyatye-ministerstvom/29-11-2022-17-56-13-rasporyazhenie-ministerstva-imushchestvennykh-otno" TargetMode="External"/><Relationship Id="rId10" Type="http://schemas.openxmlformats.org/officeDocument/2006/relationships/hyperlink" Target="https://uslugi.mosreg.ru/services/208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o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2022-12-06T09:43:00Z</dcterms:created>
  <dcterms:modified xsi:type="dcterms:W3CDTF">2022-12-06T09:43:00Z</dcterms:modified>
</cp:coreProperties>
</file>